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F8" w:rsidRPr="008A2263" w:rsidRDefault="00C64505" w:rsidP="00CC38F8">
      <w:pPr>
        <w:rPr>
          <w:rFonts w:ascii="Arial" w:hAnsi="Arial" w:cs="Arial"/>
          <w:sz w:val="20"/>
          <w:szCs w:val="20"/>
        </w:rPr>
      </w:pPr>
      <w:r w:rsidRPr="008A2263">
        <w:rPr>
          <w:rFonts w:ascii="Arial" w:hAnsi="Arial" w:cs="Arial"/>
          <w:noProof/>
          <w:sz w:val="20"/>
          <w:szCs w:val="20"/>
          <w:lang w:val="en-IE" w:eastAsia="en-IE"/>
        </w:rPr>
        <w:drawing>
          <wp:anchor distT="0" distB="0" distL="114300" distR="114300" simplePos="0" relativeHeight="251658240" behindDoc="0" locked="0" layoutInCell="1" allowOverlap="1" wp14:anchorId="48A2DAA2" wp14:editId="2AAA51B8">
            <wp:simplePos x="0" y="0"/>
            <wp:positionH relativeFrom="column">
              <wp:posOffset>3489960</wp:posOffset>
            </wp:positionH>
            <wp:positionV relativeFrom="paragraph">
              <wp:posOffset>0</wp:posOffset>
            </wp:positionV>
            <wp:extent cx="2522220" cy="732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732155"/>
                    </a:xfrm>
                    <a:prstGeom prst="rect">
                      <a:avLst/>
                    </a:prstGeom>
                    <a:noFill/>
                  </pic:spPr>
                </pic:pic>
              </a:graphicData>
            </a:graphic>
            <wp14:sizeRelH relativeFrom="page">
              <wp14:pctWidth>0</wp14:pctWidth>
            </wp14:sizeRelH>
            <wp14:sizeRelV relativeFrom="page">
              <wp14:pctHeight>0</wp14:pctHeight>
            </wp14:sizeRelV>
          </wp:anchor>
        </w:drawing>
      </w:r>
      <w:r w:rsidRPr="008A2263">
        <w:rPr>
          <w:rFonts w:ascii="Arial" w:hAnsi="Arial" w:cs="Arial"/>
          <w:noProof/>
          <w:sz w:val="20"/>
          <w:szCs w:val="20"/>
          <w:lang w:val="en-IE" w:eastAsia="en-IE"/>
        </w:rPr>
        <w:drawing>
          <wp:anchor distT="0" distB="0" distL="114300" distR="114300" simplePos="0" relativeHeight="251659264" behindDoc="0" locked="0" layoutInCell="1" allowOverlap="1" wp14:anchorId="630DC3A7" wp14:editId="2217C645">
            <wp:simplePos x="0" y="0"/>
            <wp:positionH relativeFrom="column">
              <wp:posOffset>0</wp:posOffset>
            </wp:positionH>
            <wp:positionV relativeFrom="paragraph">
              <wp:posOffset>-167640</wp:posOffset>
            </wp:positionV>
            <wp:extent cx="2277745" cy="868680"/>
            <wp:effectExtent l="0" t="0" r="825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745" cy="868680"/>
                    </a:xfrm>
                    <a:prstGeom prst="rect">
                      <a:avLst/>
                    </a:prstGeom>
                    <a:noFill/>
                  </pic:spPr>
                </pic:pic>
              </a:graphicData>
            </a:graphic>
            <wp14:sizeRelH relativeFrom="page">
              <wp14:pctWidth>0</wp14:pctWidth>
            </wp14:sizeRelH>
            <wp14:sizeRelV relativeFrom="page">
              <wp14:pctHeight>0</wp14:pctHeight>
            </wp14:sizeRelV>
          </wp:anchor>
        </w:drawing>
      </w:r>
    </w:p>
    <w:p w:rsidR="00C64505" w:rsidRPr="008A2263" w:rsidRDefault="00C64505" w:rsidP="00892F28">
      <w:pPr>
        <w:jc w:val="center"/>
        <w:rPr>
          <w:rFonts w:ascii="Arial" w:hAnsi="Arial" w:cs="Arial"/>
          <w:sz w:val="20"/>
          <w:szCs w:val="20"/>
        </w:rPr>
      </w:pPr>
    </w:p>
    <w:p w:rsidR="00C64505" w:rsidRPr="008A2263" w:rsidRDefault="00C64505" w:rsidP="00892F28">
      <w:pPr>
        <w:jc w:val="center"/>
        <w:rPr>
          <w:rFonts w:ascii="Arial" w:hAnsi="Arial" w:cs="Arial"/>
          <w:sz w:val="20"/>
          <w:szCs w:val="20"/>
        </w:rPr>
      </w:pPr>
    </w:p>
    <w:p w:rsidR="00CC38F8" w:rsidRPr="008A2263" w:rsidRDefault="00CC38F8" w:rsidP="00C6450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A2263">
        <w:rPr>
          <w:rFonts w:ascii="Arial" w:hAnsi="Arial" w:cs="Arial"/>
          <w:sz w:val="20"/>
          <w:szCs w:val="20"/>
        </w:rPr>
        <w:t>Ireland’s Ancient East – Signage Plan</w:t>
      </w:r>
    </w:p>
    <w:p w:rsidR="00C64505" w:rsidRPr="008A2263" w:rsidRDefault="00C64505" w:rsidP="00C64505">
      <w:pPr>
        <w:pStyle w:val="ListParagraph"/>
        <w:ind w:left="360"/>
        <w:rPr>
          <w:rFonts w:ascii="Arial" w:hAnsi="Arial" w:cs="Arial"/>
          <w:b/>
          <w:sz w:val="20"/>
          <w:szCs w:val="20"/>
        </w:rPr>
      </w:pPr>
    </w:p>
    <w:p w:rsidR="00CC38F8" w:rsidRPr="008A2263" w:rsidRDefault="00CC38F8" w:rsidP="00C64505">
      <w:pPr>
        <w:pStyle w:val="ListParagraph"/>
        <w:numPr>
          <w:ilvl w:val="0"/>
          <w:numId w:val="4"/>
        </w:numPr>
        <w:rPr>
          <w:rFonts w:ascii="Arial" w:hAnsi="Arial" w:cs="Arial"/>
          <w:b/>
          <w:sz w:val="20"/>
          <w:szCs w:val="20"/>
        </w:rPr>
      </w:pPr>
      <w:r w:rsidRPr="008A2263">
        <w:rPr>
          <w:rFonts w:ascii="Arial" w:hAnsi="Arial" w:cs="Arial"/>
          <w:b/>
          <w:sz w:val="20"/>
          <w:szCs w:val="20"/>
        </w:rPr>
        <w:t>Introduction</w:t>
      </w:r>
    </w:p>
    <w:p w:rsidR="00CC38F8" w:rsidRPr="008A2263" w:rsidRDefault="00CC38F8" w:rsidP="008A2263">
      <w:pPr>
        <w:jc w:val="both"/>
        <w:rPr>
          <w:rFonts w:ascii="Arial" w:hAnsi="Arial" w:cs="Arial"/>
          <w:sz w:val="20"/>
          <w:szCs w:val="20"/>
        </w:rPr>
      </w:pPr>
      <w:r w:rsidRPr="008A2263">
        <w:rPr>
          <w:rFonts w:ascii="Arial" w:hAnsi="Arial" w:cs="Arial"/>
          <w:sz w:val="20"/>
          <w:szCs w:val="20"/>
          <w:lang w:val="en-IE"/>
        </w:rPr>
        <w:t>To offer visitors a compelling motivation to visit the east and south regions of Ireland, Fáilte Ireland has developed a new umbrella destination brand called Ireland’s Ancient East.</w:t>
      </w:r>
      <w:r w:rsidRPr="008A2263">
        <w:rPr>
          <w:rFonts w:ascii="Arial" w:hAnsi="Arial" w:cs="Arial"/>
          <w:sz w:val="20"/>
          <w:szCs w:val="20"/>
        </w:rPr>
        <w:t xml:space="preserve"> The Brand is rooted in rich history and a diverse range of cultural heritage experiences that are particularly prevalent in the East and South. It is envisaged that Ireland’s Ancient East will become the key emotional pull and the reason that visitors will travel to this part of the country.  </w:t>
      </w:r>
    </w:p>
    <w:p w:rsidR="00CC38F8" w:rsidRPr="008A2263" w:rsidRDefault="00CC38F8" w:rsidP="008A2263">
      <w:pPr>
        <w:autoSpaceDE w:val="0"/>
        <w:autoSpaceDN w:val="0"/>
        <w:adjustRightInd w:val="0"/>
        <w:spacing w:after="0"/>
        <w:jc w:val="both"/>
        <w:rPr>
          <w:rFonts w:ascii="Arial" w:hAnsi="Arial" w:cs="Arial"/>
          <w:sz w:val="20"/>
          <w:szCs w:val="20"/>
        </w:rPr>
      </w:pPr>
      <w:r w:rsidRPr="008A2263">
        <w:rPr>
          <w:rFonts w:ascii="Arial" w:hAnsi="Arial" w:cs="Arial"/>
          <w:sz w:val="20"/>
          <w:szCs w:val="20"/>
        </w:rPr>
        <w:t>The key strategic objectives of the Ireland’s Ancient East initiative are:</w:t>
      </w:r>
    </w:p>
    <w:p w:rsidR="00CC38F8" w:rsidRPr="008A2263" w:rsidRDefault="00CC38F8" w:rsidP="008A2263">
      <w:pPr>
        <w:pStyle w:val="ListParagraph"/>
        <w:numPr>
          <w:ilvl w:val="0"/>
          <w:numId w:val="7"/>
        </w:numPr>
        <w:autoSpaceDE w:val="0"/>
        <w:autoSpaceDN w:val="0"/>
        <w:adjustRightInd w:val="0"/>
        <w:spacing w:after="0"/>
        <w:jc w:val="both"/>
        <w:rPr>
          <w:rFonts w:ascii="Arial" w:hAnsi="Arial" w:cs="Arial"/>
          <w:sz w:val="20"/>
          <w:szCs w:val="20"/>
        </w:rPr>
      </w:pPr>
      <w:r w:rsidRPr="008A2263">
        <w:rPr>
          <w:rFonts w:ascii="Arial" w:hAnsi="Arial" w:cs="Arial"/>
          <w:sz w:val="20"/>
          <w:szCs w:val="20"/>
        </w:rPr>
        <w:t>To increase the number of overnights spent by overseas visitors in the region, and to increase the tourism revenue generated and the associated tourism employment numbers, by delivering world class visitor experiences;</w:t>
      </w:r>
    </w:p>
    <w:p w:rsidR="00CC38F8" w:rsidRPr="008A2263" w:rsidRDefault="00CC38F8" w:rsidP="008A2263">
      <w:pPr>
        <w:pStyle w:val="ListParagraph"/>
        <w:numPr>
          <w:ilvl w:val="0"/>
          <w:numId w:val="7"/>
        </w:numPr>
        <w:autoSpaceDE w:val="0"/>
        <w:autoSpaceDN w:val="0"/>
        <w:adjustRightInd w:val="0"/>
        <w:spacing w:after="0"/>
        <w:jc w:val="both"/>
        <w:rPr>
          <w:rFonts w:ascii="Arial" w:hAnsi="Arial" w:cs="Arial"/>
          <w:sz w:val="20"/>
          <w:szCs w:val="20"/>
        </w:rPr>
      </w:pPr>
      <w:r w:rsidRPr="008A2263">
        <w:rPr>
          <w:rFonts w:ascii="Arial" w:hAnsi="Arial" w:cs="Arial"/>
          <w:sz w:val="20"/>
          <w:szCs w:val="20"/>
        </w:rPr>
        <w:t xml:space="preserve">To move Ireland’s Ancient East from a transit zone to a touring zone by increasing visitor dwell time in the region; </w:t>
      </w:r>
    </w:p>
    <w:p w:rsidR="00CC38F8" w:rsidRPr="008A2263" w:rsidRDefault="00CC38F8" w:rsidP="008A2263">
      <w:pPr>
        <w:pStyle w:val="ListParagraph"/>
        <w:numPr>
          <w:ilvl w:val="0"/>
          <w:numId w:val="7"/>
        </w:numPr>
        <w:autoSpaceDE w:val="0"/>
        <w:autoSpaceDN w:val="0"/>
        <w:adjustRightInd w:val="0"/>
        <w:spacing w:after="0"/>
        <w:jc w:val="both"/>
        <w:rPr>
          <w:rFonts w:ascii="Arial" w:hAnsi="Arial" w:cs="Arial"/>
          <w:sz w:val="20"/>
          <w:szCs w:val="20"/>
        </w:rPr>
      </w:pPr>
      <w:r w:rsidRPr="008A2263">
        <w:rPr>
          <w:rFonts w:ascii="Arial" w:hAnsi="Arial" w:cs="Arial"/>
          <w:sz w:val="20"/>
          <w:szCs w:val="20"/>
        </w:rPr>
        <w:t>Disperse visitor traffic across the geography by equally encouraging the exploration of both signature and lesser known sites and experiences. The new destination brand has been designed to ensure that the area is presented in a cohesive and unified manner. On a trip through Ireland’s Ancient East, stories should connect different places, enhancing the experience for the visitor. The new brand will make good use of stronger attractions to cross sell and promote secondary and tertiary attractions and experiences and help disperse visitors into local towns and villages throughout the east and south regions.</w:t>
      </w:r>
    </w:p>
    <w:p w:rsidR="00CC38F8" w:rsidRPr="008A2263" w:rsidRDefault="00CC38F8" w:rsidP="00CC38F8">
      <w:pPr>
        <w:spacing w:after="0"/>
        <w:rPr>
          <w:rFonts w:ascii="Arial" w:hAnsi="Arial" w:cs="Arial"/>
          <w:sz w:val="20"/>
          <w:szCs w:val="20"/>
        </w:rPr>
      </w:pPr>
    </w:p>
    <w:p w:rsidR="00C64505" w:rsidRPr="008A2263" w:rsidRDefault="00C64505" w:rsidP="00CC38F8">
      <w:pPr>
        <w:spacing w:after="0"/>
        <w:rPr>
          <w:rFonts w:ascii="Arial" w:hAnsi="Arial" w:cs="Arial"/>
          <w:sz w:val="20"/>
          <w:szCs w:val="20"/>
        </w:rPr>
      </w:pPr>
    </w:p>
    <w:p w:rsidR="00CC38F8" w:rsidRPr="008A2263" w:rsidRDefault="00CC38F8" w:rsidP="00CC38F8">
      <w:pPr>
        <w:pStyle w:val="ListParagraph"/>
        <w:numPr>
          <w:ilvl w:val="0"/>
          <w:numId w:val="4"/>
        </w:numPr>
        <w:spacing w:after="0"/>
        <w:rPr>
          <w:rFonts w:ascii="Arial" w:hAnsi="Arial" w:cs="Arial"/>
          <w:b/>
          <w:sz w:val="20"/>
          <w:szCs w:val="20"/>
        </w:rPr>
      </w:pPr>
      <w:r w:rsidRPr="008A2263">
        <w:rPr>
          <w:rFonts w:ascii="Arial" w:hAnsi="Arial" w:cs="Arial"/>
          <w:b/>
          <w:sz w:val="20"/>
          <w:szCs w:val="20"/>
        </w:rPr>
        <w:t>Signage</w:t>
      </w:r>
    </w:p>
    <w:p w:rsidR="00CC38F8" w:rsidRPr="008A2263" w:rsidRDefault="00CC38F8" w:rsidP="00CC38F8">
      <w:pPr>
        <w:pStyle w:val="ListParagraph"/>
        <w:spacing w:after="0"/>
        <w:rPr>
          <w:rFonts w:ascii="Arial" w:hAnsi="Arial" w:cs="Arial"/>
          <w:sz w:val="20"/>
          <w:szCs w:val="20"/>
        </w:rPr>
      </w:pPr>
    </w:p>
    <w:p w:rsidR="00CC38F8" w:rsidRPr="008A2263" w:rsidRDefault="00CC38F8" w:rsidP="008A2263">
      <w:pPr>
        <w:autoSpaceDE w:val="0"/>
        <w:autoSpaceDN w:val="0"/>
        <w:adjustRightInd w:val="0"/>
        <w:spacing w:after="0"/>
        <w:jc w:val="both"/>
        <w:rPr>
          <w:rFonts w:ascii="Arial" w:hAnsi="Arial" w:cs="Arial"/>
          <w:sz w:val="20"/>
          <w:szCs w:val="20"/>
        </w:rPr>
      </w:pPr>
      <w:r w:rsidRPr="008A2263">
        <w:rPr>
          <w:rFonts w:ascii="Arial" w:hAnsi="Arial" w:cs="Arial"/>
          <w:sz w:val="20"/>
          <w:szCs w:val="20"/>
        </w:rPr>
        <w:t>In order to bring the brand to life on the ground, there are two signage schemes proposed:</w:t>
      </w:r>
    </w:p>
    <w:p w:rsidR="00CC38F8" w:rsidRPr="008A2263" w:rsidRDefault="00CC38F8" w:rsidP="008A2263">
      <w:pPr>
        <w:pStyle w:val="ListParagraph"/>
        <w:numPr>
          <w:ilvl w:val="0"/>
          <w:numId w:val="5"/>
        </w:numPr>
        <w:autoSpaceDE w:val="0"/>
        <w:autoSpaceDN w:val="0"/>
        <w:adjustRightInd w:val="0"/>
        <w:spacing w:after="0"/>
        <w:jc w:val="both"/>
        <w:rPr>
          <w:rFonts w:ascii="Arial" w:hAnsi="Arial" w:cs="Arial"/>
          <w:sz w:val="20"/>
          <w:szCs w:val="20"/>
        </w:rPr>
      </w:pPr>
      <w:r w:rsidRPr="008A2263">
        <w:rPr>
          <w:rFonts w:ascii="Arial" w:hAnsi="Arial" w:cs="Arial"/>
          <w:sz w:val="20"/>
          <w:szCs w:val="20"/>
        </w:rPr>
        <w:t>Branded Orientation Signage at key attractions in Ireland’s Ancient East</w:t>
      </w:r>
    </w:p>
    <w:p w:rsidR="00CC38F8" w:rsidRPr="008A2263" w:rsidRDefault="00CC38F8" w:rsidP="008A2263">
      <w:pPr>
        <w:pStyle w:val="ListParagraph"/>
        <w:numPr>
          <w:ilvl w:val="0"/>
          <w:numId w:val="5"/>
        </w:numPr>
        <w:autoSpaceDE w:val="0"/>
        <w:autoSpaceDN w:val="0"/>
        <w:adjustRightInd w:val="0"/>
        <w:spacing w:after="0"/>
        <w:jc w:val="both"/>
        <w:rPr>
          <w:rFonts w:ascii="Arial" w:hAnsi="Arial" w:cs="Arial"/>
          <w:sz w:val="20"/>
          <w:szCs w:val="20"/>
        </w:rPr>
      </w:pPr>
      <w:r w:rsidRPr="008A2263">
        <w:rPr>
          <w:rFonts w:ascii="Arial" w:hAnsi="Arial" w:cs="Arial"/>
          <w:sz w:val="20"/>
          <w:szCs w:val="20"/>
        </w:rPr>
        <w:t xml:space="preserve">Upgrade of county boundary signage to </w:t>
      </w:r>
      <w:r w:rsidR="008E47CF" w:rsidRPr="008A2263">
        <w:rPr>
          <w:rFonts w:ascii="Arial" w:hAnsi="Arial" w:cs="Arial"/>
          <w:sz w:val="20"/>
          <w:szCs w:val="20"/>
        </w:rPr>
        <w:t>incorporate</w:t>
      </w:r>
      <w:r w:rsidRPr="008A2263">
        <w:rPr>
          <w:rFonts w:ascii="Arial" w:hAnsi="Arial" w:cs="Arial"/>
          <w:sz w:val="20"/>
          <w:szCs w:val="20"/>
        </w:rPr>
        <w:t xml:space="preserve"> a branded plate with the Ireland’s Ancient East logo</w:t>
      </w:r>
    </w:p>
    <w:p w:rsidR="00CC38F8" w:rsidRPr="008A2263" w:rsidRDefault="00CC38F8" w:rsidP="008A2263">
      <w:pPr>
        <w:autoSpaceDE w:val="0"/>
        <w:autoSpaceDN w:val="0"/>
        <w:adjustRightInd w:val="0"/>
        <w:spacing w:after="0"/>
        <w:jc w:val="both"/>
        <w:rPr>
          <w:rFonts w:ascii="Arial" w:hAnsi="Arial" w:cs="Arial"/>
          <w:sz w:val="20"/>
          <w:szCs w:val="20"/>
        </w:rPr>
      </w:pPr>
    </w:p>
    <w:p w:rsidR="00CC38F8" w:rsidRPr="008A2263" w:rsidRDefault="008E47CF" w:rsidP="008A2263">
      <w:pPr>
        <w:pStyle w:val="ListParagraph"/>
        <w:numPr>
          <w:ilvl w:val="1"/>
          <w:numId w:val="4"/>
        </w:numPr>
        <w:autoSpaceDE w:val="0"/>
        <w:autoSpaceDN w:val="0"/>
        <w:adjustRightInd w:val="0"/>
        <w:spacing w:after="0"/>
        <w:jc w:val="both"/>
        <w:rPr>
          <w:rFonts w:ascii="Arial" w:hAnsi="Arial" w:cs="Arial"/>
          <w:i/>
          <w:sz w:val="20"/>
          <w:szCs w:val="20"/>
        </w:rPr>
      </w:pPr>
      <w:r w:rsidRPr="008A2263">
        <w:rPr>
          <w:rFonts w:ascii="Arial" w:hAnsi="Arial" w:cs="Arial"/>
          <w:i/>
          <w:sz w:val="20"/>
          <w:szCs w:val="20"/>
        </w:rPr>
        <w:t>Branded Orientation Signs</w:t>
      </w:r>
    </w:p>
    <w:p w:rsidR="008E47CF" w:rsidRPr="008A2263" w:rsidRDefault="008E47CF" w:rsidP="008A2263">
      <w:pPr>
        <w:autoSpaceDE w:val="0"/>
        <w:autoSpaceDN w:val="0"/>
        <w:adjustRightInd w:val="0"/>
        <w:spacing w:after="0"/>
        <w:jc w:val="both"/>
        <w:rPr>
          <w:rFonts w:ascii="Arial" w:hAnsi="Arial" w:cs="Arial"/>
          <w:sz w:val="20"/>
          <w:szCs w:val="20"/>
        </w:rPr>
      </w:pPr>
    </w:p>
    <w:p w:rsidR="008E47CF" w:rsidRPr="008A2263" w:rsidRDefault="008E47CF" w:rsidP="008A2263">
      <w:pPr>
        <w:autoSpaceDE w:val="0"/>
        <w:autoSpaceDN w:val="0"/>
        <w:adjustRightInd w:val="0"/>
        <w:spacing w:after="0"/>
        <w:jc w:val="both"/>
        <w:rPr>
          <w:rFonts w:ascii="Arial" w:hAnsi="Arial" w:cs="Arial"/>
          <w:sz w:val="20"/>
          <w:szCs w:val="20"/>
        </w:rPr>
      </w:pPr>
      <w:r w:rsidRPr="008A2263">
        <w:rPr>
          <w:rFonts w:ascii="Arial" w:hAnsi="Arial" w:cs="Arial"/>
          <w:sz w:val="20"/>
          <w:szCs w:val="20"/>
        </w:rPr>
        <w:t xml:space="preserve">These signs have been designed to respond to the themes of the Ireland’s Ancient East brand and vision, taking its references from the landscape to develop an iconic and distinctive form which invites the user to orientate </w:t>
      </w:r>
      <w:proofErr w:type="gramStart"/>
      <w:r w:rsidRPr="008A2263">
        <w:rPr>
          <w:rFonts w:ascii="Arial" w:hAnsi="Arial" w:cs="Arial"/>
          <w:sz w:val="20"/>
          <w:szCs w:val="20"/>
        </w:rPr>
        <w:t>themselves</w:t>
      </w:r>
      <w:proofErr w:type="gramEnd"/>
      <w:r w:rsidRPr="008A2263">
        <w:rPr>
          <w:rFonts w:ascii="Arial" w:hAnsi="Arial" w:cs="Arial"/>
          <w:sz w:val="20"/>
          <w:szCs w:val="20"/>
        </w:rPr>
        <w:t xml:space="preserve"> in relation to the wider tourism offer of Ireland’s Ancient East. In this way visitors to each site will find details of other sites close by (within a 40 minute drive) to encourage visitors to explore further. </w:t>
      </w:r>
    </w:p>
    <w:p w:rsidR="008E47CF" w:rsidRPr="008A2263" w:rsidRDefault="008E47CF" w:rsidP="008A2263">
      <w:pPr>
        <w:autoSpaceDE w:val="0"/>
        <w:autoSpaceDN w:val="0"/>
        <w:adjustRightInd w:val="0"/>
        <w:spacing w:after="0"/>
        <w:jc w:val="both"/>
        <w:rPr>
          <w:rFonts w:ascii="Arial" w:hAnsi="Arial" w:cs="Arial"/>
          <w:sz w:val="20"/>
          <w:szCs w:val="20"/>
        </w:rPr>
      </w:pPr>
    </w:p>
    <w:p w:rsidR="008E47CF" w:rsidRPr="008A2263" w:rsidRDefault="008E47CF" w:rsidP="008A2263">
      <w:pPr>
        <w:autoSpaceDE w:val="0"/>
        <w:autoSpaceDN w:val="0"/>
        <w:adjustRightInd w:val="0"/>
        <w:spacing w:after="0"/>
        <w:jc w:val="both"/>
        <w:rPr>
          <w:rFonts w:ascii="Arial" w:hAnsi="Arial" w:cs="Arial"/>
          <w:sz w:val="20"/>
          <w:szCs w:val="20"/>
        </w:rPr>
      </w:pPr>
      <w:r w:rsidRPr="008A2263">
        <w:rPr>
          <w:rFonts w:ascii="Arial" w:hAnsi="Arial" w:cs="Arial"/>
          <w:sz w:val="20"/>
          <w:szCs w:val="20"/>
        </w:rPr>
        <w:t>The sign content is double sided. The first side is set out in the form of a spiral wheel showing the sites that are near for orientation and approximately how long it will take to drive to other nearby sites. The second side will give an overview of the Ireland’s Ancient East story of wandering through 5,000 years of history.</w:t>
      </w:r>
    </w:p>
    <w:p w:rsidR="008E47CF" w:rsidRPr="008A2263" w:rsidRDefault="008E47CF" w:rsidP="008A2263">
      <w:pPr>
        <w:autoSpaceDE w:val="0"/>
        <w:autoSpaceDN w:val="0"/>
        <w:adjustRightInd w:val="0"/>
        <w:spacing w:after="0"/>
        <w:jc w:val="both"/>
        <w:rPr>
          <w:rFonts w:ascii="Arial" w:hAnsi="Arial" w:cs="Arial"/>
          <w:sz w:val="20"/>
          <w:szCs w:val="20"/>
        </w:rPr>
      </w:pPr>
    </w:p>
    <w:p w:rsidR="008E47CF" w:rsidRPr="008A2263" w:rsidRDefault="008E47CF" w:rsidP="008A2263">
      <w:pPr>
        <w:autoSpaceDE w:val="0"/>
        <w:autoSpaceDN w:val="0"/>
        <w:adjustRightInd w:val="0"/>
        <w:spacing w:after="0"/>
        <w:jc w:val="both"/>
        <w:rPr>
          <w:rFonts w:ascii="Arial" w:hAnsi="Arial" w:cs="Arial"/>
          <w:sz w:val="20"/>
          <w:szCs w:val="20"/>
        </w:rPr>
      </w:pPr>
      <w:r w:rsidRPr="008A2263">
        <w:rPr>
          <w:rFonts w:ascii="Arial" w:hAnsi="Arial" w:cs="Arial"/>
          <w:sz w:val="20"/>
          <w:szCs w:val="20"/>
        </w:rPr>
        <w:lastRenderedPageBreak/>
        <w:t>The signs will be visually striking and clear, and will be the same style at each site to reinforce the overall Ireland’s Ancient East Brand, however the sign design comes in a range of sizes to allow for the different locations and site requirements with free standing and wall mounted options.</w:t>
      </w:r>
    </w:p>
    <w:p w:rsidR="008E47CF" w:rsidRPr="008A2263" w:rsidRDefault="008E47CF" w:rsidP="008E47CF">
      <w:pPr>
        <w:autoSpaceDE w:val="0"/>
        <w:autoSpaceDN w:val="0"/>
        <w:adjustRightInd w:val="0"/>
        <w:spacing w:after="0"/>
        <w:rPr>
          <w:rFonts w:ascii="Arial" w:hAnsi="Arial" w:cs="Arial"/>
          <w:sz w:val="20"/>
          <w:szCs w:val="20"/>
        </w:rPr>
      </w:pPr>
    </w:p>
    <w:p w:rsidR="00CC38F8" w:rsidRPr="008A2263" w:rsidRDefault="00CC38F8" w:rsidP="008A2263">
      <w:pPr>
        <w:autoSpaceDE w:val="0"/>
        <w:autoSpaceDN w:val="0"/>
        <w:adjustRightInd w:val="0"/>
        <w:spacing w:after="0"/>
        <w:jc w:val="both"/>
        <w:rPr>
          <w:rFonts w:ascii="Arial" w:hAnsi="Arial" w:cs="Arial"/>
          <w:sz w:val="20"/>
          <w:szCs w:val="20"/>
        </w:rPr>
      </w:pPr>
      <w:r w:rsidRPr="008A2263">
        <w:rPr>
          <w:rFonts w:ascii="Arial" w:hAnsi="Arial" w:cs="Arial"/>
          <w:sz w:val="20"/>
          <w:szCs w:val="20"/>
        </w:rPr>
        <w:t>The purpose of the signs is:</w:t>
      </w:r>
    </w:p>
    <w:p w:rsidR="00CC38F8" w:rsidRPr="008A2263" w:rsidRDefault="00CC38F8" w:rsidP="008A2263">
      <w:pPr>
        <w:pStyle w:val="ListParagraph"/>
        <w:numPr>
          <w:ilvl w:val="0"/>
          <w:numId w:val="2"/>
        </w:numPr>
        <w:autoSpaceDE w:val="0"/>
        <w:autoSpaceDN w:val="0"/>
        <w:adjustRightInd w:val="0"/>
        <w:spacing w:after="0"/>
        <w:jc w:val="both"/>
        <w:rPr>
          <w:rFonts w:ascii="Arial" w:hAnsi="Arial" w:cs="Arial"/>
          <w:sz w:val="20"/>
          <w:szCs w:val="20"/>
        </w:rPr>
      </w:pPr>
      <w:r w:rsidRPr="008A2263">
        <w:rPr>
          <w:rFonts w:ascii="Arial" w:hAnsi="Arial" w:cs="Arial"/>
          <w:sz w:val="20"/>
          <w:szCs w:val="20"/>
        </w:rPr>
        <w:t>To bring the brand to life on the ground and make it visible to the consumer</w:t>
      </w:r>
    </w:p>
    <w:p w:rsidR="00CC38F8" w:rsidRPr="008A2263" w:rsidRDefault="00CC38F8" w:rsidP="008A2263">
      <w:pPr>
        <w:pStyle w:val="ListParagraph"/>
        <w:numPr>
          <w:ilvl w:val="0"/>
          <w:numId w:val="2"/>
        </w:numPr>
        <w:autoSpaceDE w:val="0"/>
        <w:autoSpaceDN w:val="0"/>
        <w:adjustRightInd w:val="0"/>
        <w:spacing w:after="0"/>
        <w:jc w:val="both"/>
        <w:rPr>
          <w:rFonts w:ascii="Arial" w:hAnsi="Arial" w:cs="Arial"/>
          <w:sz w:val="20"/>
          <w:szCs w:val="20"/>
        </w:rPr>
      </w:pPr>
      <w:r w:rsidRPr="008A2263">
        <w:rPr>
          <w:rFonts w:ascii="Arial" w:hAnsi="Arial" w:cs="Arial"/>
          <w:sz w:val="20"/>
          <w:szCs w:val="20"/>
        </w:rPr>
        <w:t>To cross-sell those nearby tourist attractions and points of interest that are part of the Ireland’s Ancient East story, thereby encouraging visitors to explore the area and make connections with other places within the region. Ireland’s Ancient East promises a destination that is easy and enjoyable to explore.</w:t>
      </w:r>
    </w:p>
    <w:p w:rsidR="00CC38F8" w:rsidRPr="008A2263" w:rsidRDefault="00CC38F8" w:rsidP="008A2263">
      <w:pPr>
        <w:pStyle w:val="ListParagraph"/>
        <w:numPr>
          <w:ilvl w:val="0"/>
          <w:numId w:val="2"/>
        </w:numPr>
        <w:autoSpaceDE w:val="0"/>
        <w:autoSpaceDN w:val="0"/>
        <w:adjustRightInd w:val="0"/>
        <w:spacing w:after="0"/>
        <w:jc w:val="both"/>
        <w:rPr>
          <w:rFonts w:ascii="Arial" w:hAnsi="Arial" w:cs="Arial"/>
          <w:sz w:val="20"/>
          <w:szCs w:val="20"/>
        </w:rPr>
      </w:pPr>
      <w:r w:rsidRPr="008A2263">
        <w:rPr>
          <w:rFonts w:ascii="Arial" w:hAnsi="Arial" w:cs="Arial"/>
          <w:sz w:val="20"/>
          <w:szCs w:val="20"/>
        </w:rPr>
        <w:t>To present the story of Ireland’s Ancient East and reinforce the core values of the brand</w:t>
      </w:r>
    </w:p>
    <w:p w:rsidR="00CC38F8" w:rsidRPr="008A2263" w:rsidRDefault="00CC38F8" w:rsidP="008A2263">
      <w:pPr>
        <w:autoSpaceDE w:val="0"/>
        <w:autoSpaceDN w:val="0"/>
        <w:adjustRightInd w:val="0"/>
        <w:spacing w:after="0" w:line="240" w:lineRule="auto"/>
        <w:jc w:val="both"/>
        <w:rPr>
          <w:rFonts w:ascii="Arial" w:hAnsi="Arial" w:cs="Arial"/>
          <w:sz w:val="20"/>
          <w:szCs w:val="20"/>
        </w:rPr>
      </w:pPr>
    </w:p>
    <w:p w:rsidR="008E47CF" w:rsidRPr="008A2263" w:rsidRDefault="008E47CF" w:rsidP="008A2263">
      <w:pPr>
        <w:autoSpaceDE w:val="0"/>
        <w:autoSpaceDN w:val="0"/>
        <w:adjustRightInd w:val="0"/>
        <w:spacing w:after="0" w:line="240" w:lineRule="auto"/>
        <w:jc w:val="both"/>
        <w:rPr>
          <w:rFonts w:ascii="Arial" w:hAnsi="Arial" w:cs="Arial"/>
          <w:sz w:val="20"/>
          <w:szCs w:val="20"/>
        </w:rPr>
      </w:pPr>
      <w:r w:rsidRPr="008A2263">
        <w:rPr>
          <w:rFonts w:ascii="Arial" w:hAnsi="Arial" w:cs="Arial"/>
          <w:sz w:val="20"/>
          <w:szCs w:val="20"/>
        </w:rPr>
        <w:t>In the first phase, i</w:t>
      </w:r>
      <w:r w:rsidR="00CC38F8" w:rsidRPr="008A2263">
        <w:rPr>
          <w:rFonts w:ascii="Arial" w:hAnsi="Arial" w:cs="Arial"/>
          <w:sz w:val="20"/>
          <w:szCs w:val="20"/>
        </w:rPr>
        <w:t xml:space="preserve">t is intended that </w:t>
      </w:r>
      <w:r w:rsidRPr="008A2263">
        <w:rPr>
          <w:rFonts w:ascii="Arial" w:hAnsi="Arial" w:cs="Arial"/>
          <w:sz w:val="20"/>
          <w:szCs w:val="20"/>
        </w:rPr>
        <w:t xml:space="preserve">to install these signs at </w:t>
      </w:r>
      <w:r w:rsidR="00E756B3">
        <w:rPr>
          <w:rFonts w:ascii="Arial" w:hAnsi="Arial" w:cs="Arial"/>
          <w:sz w:val="20"/>
          <w:szCs w:val="20"/>
        </w:rPr>
        <w:t>nearly 80 key</w:t>
      </w:r>
      <w:r w:rsidRPr="008A2263">
        <w:rPr>
          <w:rFonts w:ascii="Arial" w:hAnsi="Arial" w:cs="Arial"/>
          <w:sz w:val="20"/>
          <w:szCs w:val="20"/>
        </w:rPr>
        <w:t xml:space="preserve"> attractions in the Irelands Ancient East region during 2016.</w:t>
      </w:r>
      <w:r w:rsidR="00CD74B9" w:rsidRPr="008A2263">
        <w:rPr>
          <w:rFonts w:ascii="Arial" w:hAnsi="Arial" w:cs="Arial"/>
          <w:sz w:val="20"/>
          <w:szCs w:val="20"/>
        </w:rPr>
        <w:t xml:space="preserve"> (See Appendix </w:t>
      </w:r>
      <w:r w:rsidR="00A97478" w:rsidRPr="008A2263">
        <w:rPr>
          <w:rFonts w:ascii="Arial" w:hAnsi="Arial" w:cs="Arial"/>
          <w:sz w:val="20"/>
          <w:szCs w:val="20"/>
        </w:rPr>
        <w:t xml:space="preserve">1 </w:t>
      </w:r>
      <w:r w:rsidR="00CD74B9" w:rsidRPr="008A2263">
        <w:rPr>
          <w:rFonts w:ascii="Arial" w:hAnsi="Arial" w:cs="Arial"/>
          <w:sz w:val="20"/>
          <w:szCs w:val="20"/>
        </w:rPr>
        <w:t xml:space="preserve">for </w:t>
      </w:r>
      <w:r w:rsidR="00A97478" w:rsidRPr="008A2263">
        <w:rPr>
          <w:rFonts w:ascii="Arial" w:hAnsi="Arial" w:cs="Arial"/>
          <w:sz w:val="20"/>
          <w:szCs w:val="20"/>
        </w:rPr>
        <w:t>the proposed list of signs</w:t>
      </w:r>
      <w:r w:rsidR="00CD74B9" w:rsidRPr="008A2263">
        <w:rPr>
          <w:rFonts w:ascii="Arial" w:hAnsi="Arial" w:cs="Arial"/>
          <w:sz w:val="20"/>
          <w:szCs w:val="20"/>
        </w:rPr>
        <w:t>).</w:t>
      </w:r>
      <w:r w:rsidR="005A68AF">
        <w:rPr>
          <w:rFonts w:ascii="Arial" w:hAnsi="Arial" w:cs="Arial"/>
          <w:sz w:val="20"/>
          <w:szCs w:val="20"/>
        </w:rPr>
        <w:t xml:space="preserve"> </w:t>
      </w:r>
      <w:r w:rsidR="005A68AF">
        <w:t xml:space="preserve">Signs will not be erected within SACs or SPAs. </w:t>
      </w:r>
    </w:p>
    <w:p w:rsidR="008E47CF" w:rsidRPr="008A2263" w:rsidRDefault="008E47CF" w:rsidP="008A2263">
      <w:pPr>
        <w:autoSpaceDE w:val="0"/>
        <w:autoSpaceDN w:val="0"/>
        <w:adjustRightInd w:val="0"/>
        <w:spacing w:after="0" w:line="240" w:lineRule="auto"/>
        <w:jc w:val="both"/>
        <w:rPr>
          <w:rFonts w:ascii="Arial" w:hAnsi="Arial" w:cs="Arial"/>
          <w:sz w:val="20"/>
          <w:szCs w:val="20"/>
        </w:rPr>
      </w:pPr>
    </w:p>
    <w:p w:rsidR="008E47CF" w:rsidRPr="008A2263" w:rsidRDefault="008E47CF" w:rsidP="008A2263">
      <w:pPr>
        <w:autoSpaceDE w:val="0"/>
        <w:autoSpaceDN w:val="0"/>
        <w:adjustRightInd w:val="0"/>
        <w:spacing w:after="0" w:line="240" w:lineRule="auto"/>
        <w:jc w:val="both"/>
        <w:rPr>
          <w:rFonts w:ascii="Arial" w:hAnsi="Arial" w:cs="Arial"/>
          <w:sz w:val="20"/>
          <w:szCs w:val="20"/>
        </w:rPr>
      </w:pPr>
    </w:p>
    <w:p w:rsidR="008E47CF" w:rsidRPr="008A2263" w:rsidRDefault="008E47CF" w:rsidP="008A2263">
      <w:pPr>
        <w:pStyle w:val="ListParagraph"/>
        <w:numPr>
          <w:ilvl w:val="1"/>
          <w:numId w:val="4"/>
        </w:numPr>
        <w:autoSpaceDE w:val="0"/>
        <w:autoSpaceDN w:val="0"/>
        <w:adjustRightInd w:val="0"/>
        <w:spacing w:after="0" w:line="240" w:lineRule="auto"/>
        <w:jc w:val="both"/>
        <w:rPr>
          <w:rFonts w:ascii="Arial" w:hAnsi="Arial" w:cs="Arial"/>
          <w:i/>
          <w:sz w:val="20"/>
          <w:szCs w:val="20"/>
        </w:rPr>
      </w:pPr>
      <w:r w:rsidRPr="008A2263">
        <w:rPr>
          <w:rFonts w:ascii="Arial" w:hAnsi="Arial" w:cs="Arial"/>
          <w:i/>
          <w:sz w:val="20"/>
          <w:szCs w:val="20"/>
        </w:rPr>
        <w:t>County Boundary Signs</w:t>
      </w:r>
      <w:bookmarkStart w:id="0" w:name="_GoBack"/>
      <w:bookmarkEnd w:id="0"/>
    </w:p>
    <w:p w:rsidR="008E47CF" w:rsidRPr="008A2263" w:rsidRDefault="008E47CF" w:rsidP="008A2263">
      <w:pPr>
        <w:autoSpaceDE w:val="0"/>
        <w:autoSpaceDN w:val="0"/>
        <w:adjustRightInd w:val="0"/>
        <w:spacing w:after="0" w:line="240" w:lineRule="auto"/>
        <w:jc w:val="both"/>
        <w:rPr>
          <w:rFonts w:ascii="Arial" w:hAnsi="Arial" w:cs="Arial"/>
          <w:sz w:val="20"/>
          <w:szCs w:val="20"/>
        </w:rPr>
      </w:pPr>
    </w:p>
    <w:p w:rsidR="008E47CF" w:rsidRPr="008A2263" w:rsidRDefault="008E47CF" w:rsidP="008A2263">
      <w:pPr>
        <w:autoSpaceDE w:val="0"/>
        <w:autoSpaceDN w:val="0"/>
        <w:adjustRightInd w:val="0"/>
        <w:spacing w:after="0" w:line="240" w:lineRule="auto"/>
        <w:jc w:val="both"/>
        <w:rPr>
          <w:rFonts w:ascii="Arial" w:hAnsi="Arial" w:cs="Arial"/>
          <w:sz w:val="20"/>
          <w:szCs w:val="20"/>
          <w:lang w:val="en-IE"/>
        </w:rPr>
      </w:pPr>
      <w:r w:rsidRPr="008A2263">
        <w:rPr>
          <w:rFonts w:ascii="Arial" w:hAnsi="Arial" w:cs="Arial"/>
          <w:sz w:val="20"/>
          <w:szCs w:val="20"/>
        </w:rPr>
        <w:t xml:space="preserve">This is a proposed </w:t>
      </w:r>
      <w:r w:rsidRPr="008A2263">
        <w:rPr>
          <w:rFonts w:ascii="Arial" w:hAnsi="Arial" w:cs="Arial"/>
          <w:sz w:val="20"/>
          <w:szCs w:val="20"/>
          <w:lang w:val="en-IE"/>
        </w:rPr>
        <w:t>road signage project which will see the attachment of a branded ‘Ireland’s Ancient East’ sign plate as part of the current county boundary signage on the motorway, national and regional road network across the 17 counties that comprise Ireland’s Ancient East. This branded plate would replace the county website address that currently sits beneath the main county boundary sign plate on these signs.</w:t>
      </w:r>
    </w:p>
    <w:p w:rsidR="008E47CF" w:rsidRPr="008A2263" w:rsidRDefault="008E47CF" w:rsidP="008A2263">
      <w:pPr>
        <w:autoSpaceDE w:val="0"/>
        <w:autoSpaceDN w:val="0"/>
        <w:adjustRightInd w:val="0"/>
        <w:spacing w:after="0" w:line="240" w:lineRule="auto"/>
        <w:jc w:val="both"/>
        <w:rPr>
          <w:rFonts w:ascii="Arial" w:hAnsi="Arial" w:cs="Arial"/>
          <w:sz w:val="20"/>
          <w:szCs w:val="20"/>
          <w:lang w:val="en-IE"/>
        </w:rPr>
      </w:pPr>
    </w:p>
    <w:p w:rsidR="008E47CF" w:rsidRPr="008A2263" w:rsidRDefault="008E47CF" w:rsidP="008A2263">
      <w:pPr>
        <w:autoSpaceDE w:val="0"/>
        <w:autoSpaceDN w:val="0"/>
        <w:adjustRightInd w:val="0"/>
        <w:spacing w:after="0" w:line="240" w:lineRule="auto"/>
        <w:jc w:val="both"/>
        <w:rPr>
          <w:rFonts w:ascii="Arial" w:hAnsi="Arial" w:cs="Arial"/>
          <w:sz w:val="20"/>
          <w:szCs w:val="20"/>
          <w:lang w:val="en-IE"/>
        </w:rPr>
      </w:pPr>
      <w:r w:rsidRPr="008A2263">
        <w:rPr>
          <w:rFonts w:ascii="Arial" w:hAnsi="Arial" w:cs="Arial"/>
          <w:sz w:val="20"/>
          <w:szCs w:val="20"/>
          <w:lang w:val="en-IE"/>
        </w:rPr>
        <w:t xml:space="preserve">The purpose of this signage is </w:t>
      </w:r>
    </w:p>
    <w:p w:rsidR="008E47CF" w:rsidRPr="008A2263" w:rsidRDefault="008E47CF" w:rsidP="008A2263">
      <w:pPr>
        <w:pStyle w:val="ListParagraph"/>
        <w:numPr>
          <w:ilvl w:val="0"/>
          <w:numId w:val="9"/>
        </w:numPr>
        <w:autoSpaceDE w:val="0"/>
        <w:autoSpaceDN w:val="0"/>
        <w:adjustRightInd w:val="0"/>
        <w:spacing w:after="0" w:line="240" w:lineRule="auto"/>
        <w:jc w:val="both"/>
        <w:rPr>
          <w:rFonts w:ascii="Arial" w:hAnsi="Arial" w:cs="Arial"/>
          <w:sz w:val="20"/>
          <w:szCs w:val="20"/>
          <w:lang w:val="en-IE"/>
        </w:rPr>
      </w:pPr>
      <w:r w:rsidRPr="008A2263">
        <w:rPr>
          <w:rFonts w:ascii="Arial" w:hAnsi="Arial" w:cs="Arial"/>
          <w:sz w:val="20"/>
          <w:szCs w:val="20"/>
          <w:lang w:val="en-IE"/>
        </w:rPr>
        <w:t xml:space="preserve">to raise awareness of the Ireland’s Ancient East brand among visitors </w:t>
      </w:r>
    </w:p>
    <w:p w:rsidR="008E47CF" w:rsidRPr="008A2263" w:rsidRDefault="008E47CF" w:rsidP="008A2263">
      <w:pPr>
        <w:pStyle w:val="ListParagraph"/>
        <w:numPr>
          <w:ilvl w:val="0"/>
          <w:numId w:val="9"/>
        </w:numPr>
        <w:autoSpaceDE w:val="0"/>
        <w:autoSpaceDN w:val="0"/>
        <w:adjustRightInd w:val="0"/>
        <w:spacing w:after="0" w:line="240" w:lineRule="auto"/>
        <w:jc w:val="both"/>
        <w:rPr>
          <w:rFonts w:ascii="Arial" w:hAnsi="Arial" w:cs="Arial"/>
          <w:sz w:val="20"/>
          <w:szCs w:val="20"/>
          <w:lang w:val="en-IE"/>
        </w:rPr>
      </w:pPr>
      <w:proofErr w:type="gramStart"/>
      <w:r w:rsidRPr="008A2263">
        <w:rPr>
          <w:rFonts w:ascii="Arial" w:hAnsi="Arial" w:cs="Arial"/>
          <w:sz w:val="20"/>
          <w:szCs w:val="20"/>
          <w:lang w:val="en-IE"/>
        </w:rPr>
        <w:t>to</w:t>
      </w:r>
      <w:proofErr w:type="gramEnd"/>
      <w:r w:rsidRPr="008A2263">
        <w:rPr>
          <w:rFonts w:ascii="Arial" w:hAnsi="Arial" w:cs="Arial"/>
          <w:sz w:val="20"/>
          <w:szCs w:val="20"/>
          <w:lang w:val="en-IE"/>
        </w:rPr>
        <w:t xml:space="preserve"> reinforce the association of each particular county with the Ireland’s Ancient East brand, thus providing the brand with a sense of place. As there is no single signed route at the heart of the Ireland’s Ancient East proposition – as is the case with the Wild Atlantic Way – it was felt that the initiative would benefit from a visible presence for the brand on the ground and visible to motoring visitors in particular.</w:t>
      </w:r>
    </w:p>
    <w:p w:rsidR="008E47CF" w:rsidRPr="008A2263" w:rsidRDefault="008E47CF" w:rsidP="008A2263">
      <w:pPr>
        <w:autoSpaceDE w:val="0"/>
        <w:autoSpaceDN w:val="0"/>
        <w:adjustRightInd w:val="0"/>
        <w:spacing w:after="0" w:line="240" w:lineRule="auto"/>
        <w:jc w:val="both"/>
        <w:rPr>
          <w:rFonts w:ascii="Arial" w:hAnsi="Arial" w:cs="Arial"/>
          <w:sz w:val="20"/>
          <w:szCs w:val="20"/>
        </w:rPr>
      </w:pPr>
    </w:p>
    <w:p w:rsidR="005052D6" w:rsidRPr="008A2263" w:rsidRDefault="005052D6" w:rsidP="008A2263">
      <w:pPr>
        <w:autoSpaceDE w:val="0"/>
        <w:autoSpaceDN w:val="0"/>
        <w:adjustRightInd w:val="0"/>
        <w:spacing w:after="0" w:line="240" w:lineRule="auto"/>
        <w:jc w:val="both"/>
        <w:rPr>
          <w:rFonts w:ascii="Arial" w:hAnsi="Arial" w:cs="Arial"/>
          <w:sz w:val="20"/>
          <w:szCs w:val="20"/>
        </w:rPr>
      </w:pPr>
    </w:p>
    <w:p w:rsidR="00B32A6A" w:rsidRPr="008A2263" w:rsidRDefault="00B32A6A" w:rsidP="008A2263">
      <w:pPr>
        <w:autoSpaceDE w:val="0"/>
        <w:autoSpaceDN w:val="0"/>
        <w:adjustRightInd w:val="0"/>
        <w:spacing w:after="0" w:line="240" w:lineRule="auto"/>
        <w:jc w:val="both"/>
        <w:rPr>
          <w:rFonts w:ascii="Arial" w:hAnsi="Arial" w:cs="Arial"/>
          <w:sz w:val="20"/>
          <w:szCs w:val="20"/>
        </w:rPr>
      </w:pPr>
    </w:p>
    <w:p w:rsidR="008E47CF" w:rsidRPr="008A2263" w:rsidRDefault="008E47CF" w:rsidP="008A2263">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8A2263">
        <w:rPr>
          <w:rFonts w:ascii="Arial" w:hAnsi="Arial" w:cs="Arial"/>
          <w:b/>
          <w:sz w:val="20"/>
          <w:szCs w:val="20"/>
        </w:rPr>
        <w:t>Implementation</w:t>
      </w:r>
    </w:p>
    <w:p w:rsidR="00CD74B9" w:rsidRPr="008A2263" w:rsidRDefault="00CD74B9" w:rsidP="008A2263">
      <w:pPr>
        <w:autoSpaceDE w:val="0"/>
        <w:autoSpaceDN w:val="0"/>
        <w:adjustRightInd w:val="0"/>
        <w:spacing w:after="0" w:line="240" w:lineRule="auto"/>
        <w:jc w:val="both"/>
        <w:rPr>
          <w:rFonts w:ascii="Arial" w:hAnsi="Arial" w:cs="Arial"/>
          <w:sz w:val="20"/>
          <w:szCs w:val="20"/>
        </w:rPr>
      </w:pPr>
    </w:p>
    <w:p w:rsidR="00CD74B9" w:rsidRPr="008A2263" w:rsidRDefault="008E47CF" w:rsidP="008A2263">
      <w:pPr>
        <w:autoSpaceDE w:val="0"/>
        <w:autoSpaceDN w:val="0"/>
        <w:adjustRightInd w:val="0"/>
        <w:spacing w:after="0" w:line="240" w:lineRule="auto"/>
        <w:jc w:val="both"/>
        <w:rPr>
          <w:rFonts w:ascii="Arial" w:hAnsi="Arial" w:cs="Arial"/>
          <w:sz w:val="20"/>
          <w:szCs w:val="20"/>
        </w:rPr>
      </w:pPr>
      <w:r w:rsidRPr="008A2263">
        <w:rPr>
          <w:rFonts w:ascii="Arial" w:hAnsi="Arial" w:cs="Arial"/>
          <w:sz w:val="20"/>
          <w:szCs w:val="20"/>
        </w:rPr>
        <w:t xml:space="preserve">Failte Ireland has procured a consortium led by </w:t>
      </w:r>
      <w:proofErr w:type="spellStart"/>
      <w:r w:rsidRPr="008A2263">
        <w:rPr>
          <w:rFonts w:ascii="Arial" w:hAnsi="Arial" w:cs="Arial"/>
          <w:sz w:val="20"/>
          <w:szCs w:val="20"/>
        </w:rPr>
        <w:t>Placemarque</w:t>
      </w:r>
      <w:proofErr w:type="spellEnd"/>
      <w:r w:rsidRPr="008A2263">
        <w:rPr>
          <w:rFonts w:ascii="Arial" w:hAnsi="Arial" w:cs="Arial"/>
          <w:sz w:val="20"/>
          <w:szCs w:val="20"/>
        </w:rPr>
        <w:t>+ to design the Orientation signs and to help coordinate implementation.</w:t>
      </w:r>
      <w:r w:rsidR="00B32A6A" w:rsidRPr="008A2263">
        <w:rPr>
          <w:rFonts w:ascii="Arial" w:hAnsi="Arial" w:cs="Arial"/>
          <w:sz w:val="20"/>
          <w:szCs w:val="20"/>
        </w:rPr>
        <w:t xml:space="preserve"> A </w:t>
      </w:r>
      <w:r w:rsidR="00CD74B9" w:rsidRPr="008A2263">
        <w:rPr>
          <w:rFonts w:ascii="Arial" w:hAnsi="Arial" w:cs="Arial"/>
          <w:sz w:val="20"/>
          <w:szCs w:val="20"/>
        </w:rPr>
        <w:t xml:space="preserve">tender to procure a supplier to design the county boundary signage plate and to </w:t>
      </w:r>
      <w:r w:rsidR="00035577" w:rsidRPr="008A2263">
        <w:rPr>
          <w:rFonts w:ascii="Arial" w:hAnsi="Arial" w:cs="Arial"/>
          <w:sz w:val="20"/>
          <w:szCs w:val="20"/>
        </w:rPr>
        <w:t xml:space="preserve">coordinate </w:t>
      </w:r>
      <w:r w:rsidR="00CD74B9" w:rsidRPr="008A2263">
        <w:rPr>
          <w:rFonts w:ascii="Arial" w:hAnsi="Arial" w:cs="Arial"/>
          <w:sz w:val="20"/>
          <w:szCs w:val="20"/>
        </w:rPr>
        <w:t xml:space="preserve">the implementation of </w:t>
      </w:r>
      <w:r w:rsidR="00035577" w:rsidRPr="008A2263">
        <w:rPr>
          <w:rFonts w:ascii="Arial" w:hAnsi="Arial" w:cs="Arial"/>
          <w:sz w:val="20"/>
          <w:szCs w:val="20"/>
        </w:rPr>
        <w:t>this project</w:t>
      </w:r>
      <w:r w:rsidR="00CD74B9" w:rsidRPr="008A2263">
        <w:rPr>
          <w:rFonts w:ascii="Arial" w:hAnsi="Arial" w:cs="Arial"/>
          <w:sz w:val="20"/>
          <w:szCs w:val="20"/>
        </w:rPr>
        <w:t xml:space="preserve"> is currently in train. </w:t>
      </w:r>
    </w:p>
    <w:p w:rsidR="00CD74B9" w:rsidRPr="008A2263" w:rsidRDefault="00CD74B9" w:rsidP="008A2263">
      <w:pPr>
        <w:autoSpaceDE w:val="0"/>
        <w:autoSpaceDN w:val="0"/>
        <w:adjustRightInd w:val="0"/>
        <w:spacing w:after="0" w:line="240" w:lineRule="auto"/>
        <w:jc w:val="both"/>
        <w:rPr>
          <w:rFonts w:ascii="Arial" w:hAnsi="Arial" w:cs="Arial"/>
          <w:sz w:val="20"/>
          <w:szCs w:val="20"/>
        </w:rPr>
      </w:pPr>
    </w:p>
    <w:p w:rsidR="008E47CF" w:rsidRDefault="00B32A6A" w:rsidP="008A2263">
      <w:pPr>
        <w:autoSpaceDE w:val="0"/>
        <w:autoSpaceDN w:val="0"/>
        <w:adjustRightInd w:val="0"/>
        <w:spacing w:after="0" w:line="240" w:lineRule="auto"/>
        <w:jc w:val="both"/>
        <w:rPr>
          <w:rFonts w:ascii="Arial" w:hAnsi="Arial" w:cs="Arial"/>
          <w:sz w:val="20"/>
          <w:szCs w:val="20"/>
        </w:rPr>
      </w:pPr>
      <w:r w:rsidRPr="007C710D">
        <w:rPr>
          <w:rFonts w:ascii="Arial" w:hAnsi="Arial" w:cs="Arial"/>
          <w:sz w:val="20"/>
          <w:szCs w:val="20"/>
        </w:rPr>
        <w:t xml:space="preserve">A wide </w:t>
      </w:r>
      <w:r w:rsidR="008E47CF" w:rsidRPr="007C710D">
        <w:rPr>
          <w:rFonts w:ascii="Arial" w:hAnsi="Arial" w:cs="Arial"/>
          <w:sz w:val="20"/>
          <w:szCs w:val="20"/>
        </w:rPr>
        <w:t>consult</w:t>
      </w:r>
      <w:r w:rsidRPr="007C710D">
        <w:rPr>
          <w:rFonts w:ascii="Arial" w:hAnsi="Arial" w:cs="Arial"/>
          <w:sz w:val="20"/>
          <w:szCs w:val="20"/>
        </w:rPr>
        <w:t>ation process with</w:t>
      </w:r>
      <w:r w:rsidR="008E47CF" w:rsidRPr="007C710D">
        <w:rPr>
          <w:rFonts w:ascii="Arial" w:hAnsi="Arial" w:cs="Arial"/>
          <w:sz w:val="20"/>
          <w:szCs w:val="20"/>
        </w:rPr>
        <w:t xml:space="preserve"> stakeholders </w:t>
      </w:r>
      <w:r w:rsidR="00CD74B9" w:rsidRPr="007C710D">
        <w:rPr>
          <w:rFonts w:ascii="Arial" w:hAnsi="Arial" w:cs="Arial"/>
          <w:sz w:val="20"/>
          <w:szCs w:val="20"/>
        </w:rPr>
        <w:t xml:space="preserve">for both projects </w:t>
      </w:r>
      <w:r w:rsidRPr="007C710D">
        <w:rPr>
          <w:rFonts w:ascii="Arial" w:hAnsi="Arial" w:cs="Arial"/>
          <w:sz w:val="20"/>
          <w:szCs w:val="20"/>
        </w:rPr>
        <w:t xml:space="preserve">is </w:t>
      </w:r>
      <w:r w:rsidR="00CD74B9" w:rsidRPr="007C710D">
        <w:rPr>
          <w:rFonts w:ascii="Arial" w:hAnsi="Arial" w:cs="Arial"/>
          <w:sz w:val="20"/>
          <w:szCs w:val="20"/>
        </w:rPr>
        <w:t xml:space="preserve">well </w:t>
      </w:r>
      <w:r w:rsidRPr="007C710D">
        <w:rPr>
          <w:rFonts w:ascii="Arial" w:hAnsi="Arial" w:cs="Arial"/>
          <w:sz w:val="20"/>
          <w:szCs w:val="20"/>
        </w:rPr>
        <w:t>underway.</w:t>
      </w:r>
      <w:r w:rsidR="008E47CF" w:rsidRPr="007C710D">
        <w:rPr>
          <w:rFonts w:ascii="Arial" w:hAnsi="Arial" w:cs="Arial"/>
          <w:sz w:val="20"/>
          <w:szCs w:val="20"/>
        </w:rPr>
        <w:t xml:space="preserve"> A Signage Implementation Group</w:t>
      </w:r>
      <w:r w:rsidR="00CD74B9" w:rsidRPr="007C710D">
        <w:rPr>
          <w:rFonts w:ascii="Arial" w:hAnsi="Arial" w:cs="Arial"/>
          <w:sz w:val="20"/>
          <w:szCs w:val="20"/>
        </w:rPr>
        <w:t xml:space="preserve"> which will include representation from all local authorities</w:t>
      </w:r>
      <w:r w:rsidR="008E47CF" w:rsidRPr="007C710D">
        <w:rPr>
          <w:rFonts w:ascii="Arial" w:hAnsi="Arial" w:cs="Arial"/>
          <w:sz w:val="20"/>
          <w:szCs w:val="20"/>
        </w:rPr>
        <w:t xml:space="preserve"> </w:t>
      </w:r>
      <w:r w:rsidR="005052D6" w:rsidRPr="007C710D">
        <w:rPr>
          <w:rFonts w:ascii="Arial" w:hAnsi="Arial" w:cs="Arial"/>
          <w:sz w:val="20"/>
          <w:szCs w:val="20"/>
        </w:rPr>
        <w:t xml:space="preserve">and the Office of Public Works </w:t>
      </w:r>
      <w:r w:rsidR="008E47CF" w:rsidRPr="007C710D">
        <w:rPr>
          <w:rFonts w:ascii="Arial" w:hAnsi="Arial" w:cs="Arial"/>
          <w:sz w:val="20"/>
          <w:szCs w:val="20"/>
        </w:rPr>
        <w:t xml:space="preserve">is </w:t>
      </w:r>
      <w:r w:rsidR="00CD74B9" w:rsidRPr="007C710D">
        <w:rPr>
          <w:rFonts w:ascii="Arial" w:hAnsi="Arial" w:cs="Arial"/>
          <w:sz w:val="20"/>
          <w:szCs w:val="20"/>
        </w:rPr>
        <w:t>envisaged</w:t>
      </w:r>
      <w:r w:rsidR="00035577" w:rsidRPr="007C710D">
        <w:rPr>
          <w:rFonts w:ascii="Arial" w:hAnsi="Arial" w:cs="Arial"/>
          <w:sz w:val="20"/>
          <w:szCs w:val="20"/>
        </w:rPr>
        <w:t xml:space="preserve">. This group </w:t>
      </w:r>
      <w:r w:rsidR="008E47CF" w:rsidRPr="007C710D">
        <w:rPr>
          <w:rFonts w:ascii="Arial" w:hAnsi="Arial" w:cs="Arial"/>
          <w:sz w:val="20"/>
          <w:szCs w:val="20"/>
        </w:rPr>
        <w:t xml:space="preserve">will act as </w:t>
      </w:r>
      <w:r w:rsidR="00035577" w:rsidRPr="007C710D">
        <w:rPr>
          <w:rFonts w:ascii="Arial" w:hAnsi="Arial" w:cs="Arial"/>
          <w:sz w:val="20"/>
          <w:szCs w:val="20"/>
        </w:rPr>
        <w:t xml:space="preserve">a </w:t>
      </w:r>
      <w:r w:rsidR="008E47CF" w:rsidRPr="007C710D">
        <w:rPr>
          <w:rFonts w:ascii="Arial" w:hAnsi="Arial" w:cs="Arial"/>
          <w:sz w:val="20"/>
          <w:szCs w:val="20"/>
        </w:rPr>
        <w:t xml:space="preserve">forum to </w:t>
      </w:r>
      <w:r w:rsidRPr="007C710D">
        <w:rPr>
          <w:rFonts w:ascii="Arial" w:hAnsi="Arial" w:cs="Arial"/>
          <w:sz w:val="20"/>
          <w:szCs w:val="20"/>
        </w:rPr>
        <w:t>discuss</w:t>
      </w:r>
      <w:r w:rsidR="008E47CF" w:rsidRPr="007C710D">
        <w:rPr>
          <w:rFonts w:ascii="Arial" w:hAnsi="Arial" w:cs="Arial"/>
          <w:sz w:val="20"/>
          <w:szCs w:val="20"/>
        </w:rPr>
        <w:t xml:space="preserve"> </w:t>
      </w:r>
      <w:r w:rsidR="00035577" w:rsidRPr="007C710D">
        <w:rPr>
          <w:rFonts w:ascii="Arial" w:hAnsi="Arial" w:cs="Arial"/>
          <w:sz w:val="20"/>
          <w:szCs w:val="20"/>
        </w:rPr>
        <w:t>all</w:t>
      </w:r>
      <w:r w:rsidR="008E47CF" w:rsidRPr="007C710D">
        <w:rPr>
          <w:rFonts w:ascii="Arial" w:hAnsi="Arial" w:cs="Arial"/>
          <w:sz w:val="20"/>
          <w:szCs w:val="20"/>
        </w:rPr>
        <w:t xml:space="preserve"> </w:t>
      </w:r>
      <w:r w:rsidRPr="007C710D">
        <w:rPr>
          <w:rFonts w:ascii="Arial" w:hAnsi="Arial" w:cs="Arial"/>
          <w:sz w:val="20"/>
          <w:szCs w:val="20"/>
        </w:rPr>
        <w:t xml:space="preserve">implementation and installation </w:t>
      </w:r>
      <w:r w:rsidR="008E47CF" w:rsidRPr="007C710D">
        <w:rPr>
          <w:rFonts w:ascii="Arial" w:hAnsi="Arial" w:cs="Arial"/>
          <w:sz w:val="20"/>
          <w:szCs w:val="20"/>
        </w:rPr>
        <w:t>issue</w:t>
      </w:r>
      <w:r w:rsidRPr="007C710D">
        <w:rPr>
          <w:rFonts w:ascii="Arial" w:hAnsi="Arial" w:cs="Arial"/>
          <w:sz w:val="20"/>
          <w:szCs w:val="20"/>
        </w:rPr>
        <w:t>s</w:t>
      </w:r>
      <w:r w:rsidR="00CD74B9" w:rsidRPr="007C710D">
        <w:rPr>
          <w:rFonts w:ascii="Arial" w:hAnsi="Arial" w:cs="Arial"/>
          <w:sz w:val="20"/>
          <w:szCs w:val="20"/>
        </w:rPr>
        <w:t>.</w:t>
      </w:r>
    </w:p>
    <w:p w:rsidR="0039038B" w:rsidRPr="008A2263" w:rsidRDefault="0039038B" w:rsidP="008A2263">
      <w:pPr>
        <w:autoSpaceDE w:val="0"/>
        <w:autoSpaceDN w:val="0"/>
        <w:adjustRightInd w:val="0"/>
        <w:spacing w:after="0" w:line="240" w:lineRule="auto"/>
        <w:jc w:val="both"/>
        <w:rPr>
          <w:rFonts w:ascii="Arial" w:hAnsi="Arial" w:cs="Arial"/>
          <w:sz w:val="20"/>
          <w:szCs w:val="20"/>
        </w:rPr>
      </w:pPr>
    </w:p>
    <w:p w:rsidR="0039038B" w:rsidRPr="0039038B" w:rsidRDefault="0039038B" w:rsidP="0039038B">
      <w:pPr>
        <w:spacing w:after="0" w:line="240" w:lineRule="auto"/>
        <w:jc w:val="both"/>
        <w:rPr>
          <w:rFonts w:ascii="Tahoma" w:eastAsia="Times New Roman" w:hAnsi="Tahoma" w:cs="Times New Roman"/>
          <w:sz w:val="20"/>
          <w:szCs w:val="20"/>
          <w:lang w:val="en-US" w:eastAsia="en-GB"/>
        </w:rPr>
      </w:pPr>
      <w:r w:rsidRPr="0039038B">
        <w:rPr>
          <w:rFonts w:ascii="Tahoma" w:eastAsia="Times New Roman" w:hAnsi="Tahoma" w:cs="Times New Roman"/>
          <w:sz w:val="20"/>
          <w:szCs w:val="20"/>
          <w:lang w:val="en-US" w:eastAsia="en-GB"/>
        </w:rPr>
        <w:t xml:space="preserve">Fáilte Ireland will design and produce the signage and make it available to developers </w:t>
      </w:r>
      <w:r w:rsidRPr="0039038B">
        <w:rPr>
          <w:rFonts w:ascii="Tahoma" w:eastAsia="Times New Roman" w:hAnsi="Tahoma" w:cs="Times New Roman"/>
          <w:sz w:val="20"/>
          <w:szCs w:val="24"/>
          <w:lang w:val="en-US" w:eastAsia="en-GB"/>
        </w:rPr>
        <w:t>who may decide to install new signage or upgrade existing signage,</w:t>
      </w:r>
      <w:r w:rsidRPr="0039038B">
        <w:rPr>
          <w:rFonts w:ascii="Tahoma" w:eastAsia="Times New Roman" w:hAnsi="Tahoma" w:cs="Times New Roman"/>
          <w:sz w:val="20"/>
          <w:szCs w:val="20"/>
          <w:lang w:val="en-US" w:eastAsia="en-GB"/>
        </w:rPr>
        <w:t xml:space="preserve"> subject to the conditions designed into the Signage Plan.</w:t>
      </w:r>
    </w:p>
    <w:p w:rsidR="0039038B" w:rsidRPr="0039038B" w:rsidRDefault="0039038B" w:rsidP="0039038B">
      <w:pPr>
        <w:spacing w:after="0" w:line="240" w:lineRule="auto"/>
        <w:jc w:val="both"/>
        <w:rPr>
          <w:rFonts w:ascii="Tahoma" w:eastAsia="Times New Roman" w:hAnsi="Tahoma" w:cs="Times New Roman"/>
          <w:sz w:val="20"/>
          <w:szCs w:val="20"/>
          <w:lang w:val="en-US" w:eastAsia="en-GB"/>
        </w:rPr>
      </w:pPr>
    </w:p>
    <w:p w:rsidR="0039038B" w:rsidRPr="0039038B" w:rsidRDefault="0039038B" w:rsidP="0039038B">
      <w:pPr>
        <w:spacing w:after="0" w:line="240" w:lineRule="auto"/>
        <w:jc w:val="both"/>
        <w:rPr>
          <w:rFonts w:ascii="Tahoma" w:eastAsia="Times New Roman" w:hAnsi="Tahoma" w:cs="Tahoma"/>
          <w:sz w:val="20"/>
          <w:szCs w:val="20"/>
          <w:lang w:val="en-IE"/>
        </w:rPr>
      </w:pPr>
      <w:r w:rsidRPr="0039038B">
        <w:rPr>
          <w:rFonts w:ascii="Tahoma" w:eastAsia="Times New Roman" w:hAnsi="Tahoma" w:cs="Tahoma"/>
          <w:sz w:val="20"/>
          <w:szCs w:val="20"/>
          <w:lang w:val="en-IE"/>
        </w:rPr>
        <w:t xml:space="preserve">With regard to works related to the signage, the developers are required to comply with the relevant legislative provisions in relation to AA screening. AA screening must be undertaken in advance of proposed developments by the developers. </w:t>
      </w:r>
    </w:p>
    <w:p w:rsidR="0039038B" w:rsidRPr="0039038B" w:rsidRDefault="0039038B" w:rsidP="0039038B">
      <w:pPr>
        <w:spacing w:after="0" w:line="240" w:lineRule="auto"/>
        <w:jc w:val="both"/>
        <w:rPr>
          <w:rFonts w:ascii="Tahoma" w:eastAsia="Times New Roman" w:hAnsi="Tahoma" w:cs="Tahoma"/>
          <w:sz w:val="20"/>
          <w:szCs w:val="20"/>
          <w:lang w:val="en-IE"/>
        </w:rPr>
      </w:pPr>
    </w:p>
    <w:p w:rsidR="0039038B" w:rsidRPr="0039038B" w:rsidRDefault="0039038B" w:rsidP="0039038B">
      <w:pPr>
        <w:spacing w:after="0" w:line="240" w:lineRule="auto"/>
        <w:jc w:val="both"/>
        <w:rPr>
          <w:rFonts w:ascii="Tahoma" w:eastAsia="Times New Roman" w:hAnsi="Tahoma" w:cs="Tahoma"/>
          <w:sz w:val="20"/>
          <w:szCs w:val="20"/>
          <w:lang w:val="en-IE"/>
        </w:rPr>
      </w:pPr>
      <w:r w:rsidRPr="0039038B">
        <w:rPr>
          <w:rFonts w:ascii="Tahoma" w:eastAsia="Times New Roman" w:hAnsi="Tahoma" w:cs="Tahoma"/>
          <w:sz w:val="20"/>
          <w:szCs w:val="20"/>
          <w:lang w:val="en-IE"/>
        </w:rPr>
        <w:t xml:space="preserve">[Note that: A local authority is unlikely to carry out an AA of their own development as the competent authority in such instances is likely to be An </w:t>
      </w:r>
      <w:proofErr w:type="spellStart"/>
      <w:r w:rsidRPr="0039038B">
        <w:rPr>
          <w:rFonts w:ascii="Tahoma" w:eastAsia="Times New Roman" w:hAnsi="Tahoma" w:cs="Tahoma"/>
          <w:sz w:val="20"/>
          <w:szCs w:val="20"/>
          <w:lang w:val="en-IE"/>
        </w:rPr>
        <w:t>Bord</w:t>
      </w:r>
      <w:proofErr w:type="spellEnd"/>
      <w:r w:rsidRPr="0039038B">
        <w:rPr>
          <w:rFonts w:ascii="Tahoma" w:eastAsia="Times New Roman" w:hAnsi="Tahoma" w:cs="Tahoma"/>
          <w:sz w:val="20"/>
          <w:szCs w:val="20"/>
          <w:lang w:val="en-IE"/>
        </w:rPr>
        <w:t xml:space="preserve"> </w:t>
      </w:r>
      <w:proofErr w:type="spellStart"/>
      <w:r w:rsidRPr="0039038B">
        <w:rPr>
          <w:rFonts w:ascii="Tahoma" w:eastAsia="Times New Roman" w:hAnsi="Tahoma" w:cs="Tahoma"/>
          <w:sz w:val="20"/>
          <w:szCs w:val="20"/>
          <w:lang w:val="en-IE"/>
        </w:rPr>
        <w:t>Pleanála</w:t>
      </w:r>
      <w:proofErr w:type="spellEnd"/>
      <w:r w:rsidRPr="0039038B">
        <w:rPr>
          <w:rFonts w:ascii="Tahoma" w:eastAsia="Times New Roman" w:hAnsi="Tahoma" w:cs="Tahoma"/>
          <w:sz w:val="20"/>
          <w:szCs w:val="20"/>
          <w:lang w:val="en-IE"/>
        </w:rPr>
        <w:t xml:space="preserve">. A local authority must screen proposed developments for AA to determine whether a Section 177AE application (under </w:t>
      </w:r>
      <w:r w:rsidRPr="0039038B">
        <w:rPr>
          <w:rFonts w:ascii="Tahoma" w:eastAsia="Times New Roman" w:hAnsi="Tahoma" w:cs="Times New Roman"/>
          <w:sz w:val="20"/>
          <w:szCs w:val="24"/>
          <w:lang w:val="en-IE"/>
        </w:rPr>
        <w:t xml:space="preserve">the Planning and </w:t>
      </w:r>
      <w:r w:rsidRPr="0039038B">
        <w:rPr>
          <w:rFonts w:ascii="Tahoma" w:eastAsia="Times New Roman" w:hAnsi="Tahoma" w:cs="Times New Roman"/>
          <w:sz w:val="20"/>
          <w:szCs w:val="24"/>
          <w:lang w:val="en-IE"/>
        </w:rPr>
        <w:lastRenderedPageBreak/>
        <w:t>Development Act, 2000, as amended</w:t>
      </w:r>
      <w:r w:rsidRPr="0039038B">
        <w:rPr>
          <w:rFonts w:ascii="Tahoma" w:eastAsia="Times New Roman" w:hAnsi="Tahoma" w:cs="Tahoma"/>
          <w:sz w:val="20"/>
          <w:szCs w:val="20"/>
          <w:lang w:val="en-IE"/>
        </w:rPr>
        <w:t xml:space="preserve">) to An </w:t>
      </w:r>
      <w:proofErr w:type="spellStart"/>
      <w:r w:rsidRPr="0039038B">
        <w:rPr>
          <w:rFonts w:ascii="Tahoma" w:eastAsia="Times New Roman" w:hAnsi="Tahoma" w:cs="Tahoma"/>
          <w:sz w:val="20"/>
          <w:szCs w:val="20"/>
          <w:lang w:val="en-IE"/>
        </w:rPr>
        <w:t>Bord</w:t>
      </w:r>
      <w:proofErr w:type="spellEnd"/>
      <w:r w:rsidRPr="0039038B">
        <w:rPr>
          <w:rFonts w:ascii="Tahoma" w:eastAsia="Times New Roman" w:hAnsi="Tahoma" w:cs="Tahoma"/>
          <w:sz w:val="20"/>
          <w:szCs w:val="20"/>
          <w:lang w:val="en-IE"/>
        </w:rPr>
        <w:t xml:space="preserve"> </w:t>
      </w:r>
      <w:proofErr w:type="spellStart"/>
      <w:r w:rsidRPr="0039038B">
        <w:rPr>
          <w:rFonts w:ascii="Tahoma" w:eastAsia="Times New Roman" w:hAnsi="Tahoma" w:cs="Tahoma"/>
          <w:sz w:val="20"/>
          <w:szCs w:val="20"/>
          <w:lang w:val="en-IE"/>
        </w:rPr>
        <w:t>Pleanála</w:t>
      </w:r>
      <w:proofErr w:type="spellEnd"/>
      <w:r w:rsidRPr="0039038B">
        <w:rPr>
          <w:rFonts w:ascii="Tahoma" w:eastAsia="Times New Roman" w:hAnsi="Tahoma" w:cs="Tahoma"/>
          <w:sz w:val="20"/>
          <w:szCs w:val="20"/>
          <w:lang w:val="en-IE"/>
        </w:rPr>
        <w:t xml:space="preserve"> is required. If proposals are screened out then planning exemptions are not lost. If a Stage 2 AA is required then planning exemptions are lost and planning permission must be sought. If a local authority is applying for the permission and Stage 2 AA is required, then the application must go to An </w:t>
      </w:r>
      <w:proofErr w:type="spellStart"/>
      <w:r w:rsidRPr="0039038B">
        <w:rPr>
          <w:rFonts w:ascii="Tahoma" w:eastAsia="Times New Roman" w:hAnsi="Tahoma" w:cs="Tahoma"/>
          <w:sz w:val="20"/>
          <w:szCs w:val="20"/>
          <w:lang w:val="en-IE"/>
        </w:rPr>
        <w:t>Bord</w:t>
      </w:r>
      <w:proofErr w:type="spellEnd"/>
      <w:r w:rsidRPr="0039038B">
        <w:rPr>
          <w:rFonts w:ascii="Tahoma" w:eastAsia="Times New Roman" w:hAnsi="Tahoma" w:cs="Tahoma"/>
          <w:sz w:val="20"/>
          <w:szCs w:val="20"/>
          <w:lang w:val="en-IE"/>
        </w:rPr>
        <w:t xml:space="preserve"> </w:t>
      </w:r>
      <w:proofErr w:type="spellStart"/>
      <w:r w:rsidRPr="0039038B">
        <w:rPr>
          <w:rFonts w:ascii="Tahoma" w:eastAsia="Times New Roman" w:hAnsi="Tahoma" w:cs="Tahoma"/>
          <w:sz w:val="20"/>
          <w:szCs w:val="20"/>
          <w:lang w:val="en-IE"/>
        </w:rPr>
        <w:t>Pleanála</w:t>
      </w:r>
      <w:proofErr w:type="spellEnd"/>
      <w:r w:rsidRPr="0039038B">
        <w:rPr>
          <w:rFonts w:ascii="Tahoma" w:eastAsia="Times New Roman" w:hAnsi="Tahoma" w:cs="Tahoma"/>
          <w:sz w:val="20"/>
          <w:szCs w:val="20"/>
          <w:lang w:val="en-IE"/>
        </w:rPr>
        <w:t>.  Developments or works by other groups or individuals may require planning permission or, if not, may require Ministerial consent in European sites. Local authorities are likely to be responsible for deciding whether there are restrictions on exemptions in the case of exempted development by a group or individual.]</w:t>
      </w:r>
    </w:p>
    <w:p w:rsidR="0039038B" w:rsidRPr="0039038B" w:rsidRDefault="0039038B" w:rsidP="0039038B">
      <w:pPr>
        <w:spacing w:after="0" w:line="240" w:lineRule="auto"/>
        <w:jc w:val="both"/>
        <w:rPr>
          <w:rFonts w:ascii="Tahoma" w:eastAsia="Times New Roman" w:hAnsi="Tahoma" w:cs="Times New Roman"/>
          <w:sz w:val="20"/>
          <w:szCs w:val="20"/>
          <w:lang w:val="en-US" w:eastAsia="en-GB"/>
        </w:rPr>
      </w:pPr>
    </w:p>
    <w:p w:rsidR="0039038B" w:rsidRPr="0039038B" w:rsidRDefault="0039038B" w:rsidP="0039038B">
      <w:pPr>
        <w:spacing w:after="0" w:line="240" w:lineRule="auto"/>
        <w:jc w:val="both"/>
        <w:rPr>
          <w:rFonts w:ascii="Tahoma" w:eastAsia="Times New Roman" w:hAnsi="Tahoma" w:cs="Times New Roman"/>
          <w:sz w:val="20"/>
          <w:szCs w:val="20"/>
          <w:lang w:val="en-US" w:eastAsia="en-GB"/>
        </w:rPr>
      </w:pPr>
      <w:r w:rsidRPr="0039038B">
        <w:rPr>
          <w:rFonts w:ascii="Tahoma" w:eastAsia="Times New Roman" w:hAnsi="Tahoma" w:cs="Times New Roman"/>
          <w:sz w:val="20"/>
          <w:szCs w:val="20"/>
          <w:lang w:val="en-US" w:eastAsia="en-GB"/>
        </w:rPr>
        <w:t xml:space="preserve">In order to be issued with signage and associated grants, the developers </w:t>
      </w:r>
      <w:proofErr w:type="spellStart"/>
      <w:r w:rsidRPr="0039038B">
        <w:rPr>
          <w:rFonts w:ascii="Tahoma" w:eastAsia="Times New Roman" w:hAnsi="Tahoma" w:cs="Times New Roman"/>
          <w:sz w:val="20"/>
          <w:szCs w:val="20"/>
          <w:lang w:val="en-US" w:eastAsia="en-GB"/>
        </w:rPr>
        <w:t>Fwill</w:t>
      </w:r>
      <w:proofErr w:type="spellEnd"/>
      <w:r w:rsidRPr="0039038B">
        <w:rPr>
          <w:rFonts w:ascii="Tahoma" w:eastAsia="Times New Roman" w:hAnsi="Tahoma" w:cs="Times New Roman"/>
          <w:sz w:val="20"/>
          <w:szCs w:val="20"/>
          <w:lang w:val="en-US" w:eastAsia="en-GB"/>
        </w:rPr>
        <w:t xml:space="preserve"> be required to comply with the Overarching Ecological Measures detailed on Table 1. Such measures will in some cases overlap with and in some cases will be in addition to both the requirements of environmental and planning legislation and the provisions contained within various plans and </w:t>
      </w:r>
      <w:proofErr w:type="spellStart"/>
      <w:r w:rsidRPr="0039038B">
        <w:rPr>
          <w:rFonts w:ascii="Tahoma" w:eastAsia="Times New Roman" w:hAnsi="Tahoma" w:cs="Times New Roman"/>
          <w:sz w:val="20"/>
          <w:szCs w:val="20"/>
          <w:lang w:val="en-US" w:eastAsia="en-GB"/>
        </w:rPr>
        <w:t>programmes</w:t>
      </w:r>
      <w:proofErr w:type="spellEnd"/>
      <w:r w:rsidRPr="0039038B">
        <w:rPr>
          <w:rFonts w:ascii="Tahoma" w:eastAsia="Times New Roman" w:hAnsi="Tahoma" w:cs="Times New Roman"/>
          <w:sz w:val="20"/>
          <w:szCs w:val="20"/>
          <w:lang w:val="en-US" w:eastAsia="en-GB"/>
        </w:rPr>
        <w:t xml:space="preserve"> including the various County Development Plans.</w:t>
      </w:r>
    </w:p>
    <w:p w:rsidR="0039038B" w:rsidRPr="0039038B" w:rsidRDefault="0039038B" w:rsidP="0039038B">
      <w:pPr>
        <w:spacing w:after="0" w:line="240" w:lineRule="auto"/>
        <w:jc w:val="both"/>
        <w:rPr>
          <w:rFonts w:ascii="Tahoma" w:eastAsia="Times New Roman" w:hAnsi="Tahoma" w:cs="Times New Roman"/>
          <w:sz w:val="20"/>
          <w:szCs w:val="20"/>
          <w:lang w:val="en-US" w:eastAsia="en-GB"/>
        </w:rPr>
      </w:pPr>
    </w:p>
    <w:p w:rsidR="0039038B" w:rsidRPr="0039038B" w:rsidRDefault="0039038B" w:rsidP="0039038B">
      <w:pPr>
        <w:spacing w:after="120" w:line="240" w:lineRule="auto"/>
        <w:jc w:val="both"/>
        <w:rPr>
          <w:rFonts w:ascii="Tahoma" w:eastAsia="Times New Roman" w:hAnsi="Tahoma" w:cs="Times New Roman"/>
          <w:b/>
          <w:bCs/>
          <w:sz w:val="20"/>
          <w:szCs w:val="20"/>
          <w:lang w:val="en-IE"/>
        </w:rPr>
      </w:pPr>
      <w:bookmarkStart w:id="1" w:name="_Ref441140596"/>
      <w:bookmarkStart w:id="2" w:name="_Toc441487602"/>
      <w:r w:rsidRPr="0039038B">
        <w:rPr>
          <w:rFonts w:ascii="Tahoma" w:eastAsia="Times New Roman" w:hAnsi="Tahoma" w:cs="Times New Roman"/>
          <w:b/>
          <w:bCs/>
          <w:sz w:val="20"/>
          <w:szCs w:val="20"/>
          <w:lang w:val="en-IE"/>
        </w:rPr>
        <w:t xml:space="preserve">Table </w:t>
      </w:r>
      <w:r w:rsidRPr="0039038B">
        <w:rPr>
          <w:rFonts w:ascii="Tahoma" w:eastAsia="Times New Roman" w:hAnsi="Tahoma" w:cs="Times New Roman"/>
          <w:b/>
          <w:bCs/>
          <w:sz w:val="20"/>
          <w:szCs w:val="20"/>
          <w:lang w:val="en-IE"/>
        </w:rPr>
        <w:fldChar w:fldCharType="begin"/>
      </w:r>
      <w:r w:rsidRPr="0039038B">
        <w:rPr>
          <w:rFonts w:ascii="Tahoma" w:eastAsia="Times New Roman" w:hAnsi="Tahoma" w:cs="Times New Roman"/>
          <w:b/>
          <w:bCs/>
          <w:sz w:val="20"/>
          <w:szCs w:val="20"/>
          <w:lang w:val="en-IE"/>
        </w:rPr>
        <w:instrText xml:space="preserve"> SEQ Table \* ARABIC \s 1 </w:instrText>
      </w:r>
      <w:r w:rsidRPr="0039038B">
        <w:rPr>
          <w:rFonts w:ascii="Tahoma" w:eastAsia="Times New Roman" w:hAnsi="Tahoma" w:cs="Times New Roman"/>
          <w:b/>
          <w:bCs/>
          <w:sz w:val="20"/>
          <w:szCs w:val="20"/>
          <w:lang w:val="en-IE"/>
        </w:rPr>
        <w:fldChar w:fldCharType="separate"/>
      </w:r>
      <w:r w:rsidR="00AA396F">
        <w:rPr>
          <w:rFonts w:ascii="Tahoma" w:eastAsia="Times New Roman" w:hAnsi="Tahoma" w:cs="Times New Roman"/>
          <w:b/>
          <w:bCs/>
          <w:noProof/>
          <w:sz w:val="20"/>
          <w:szCs w:val="20"/>
          <w:lang w:val="en-IE"/>
        </w:rPr>
        <w:t>1</w:t>
      </w:r>
      <w:r w:rsidRPr="0039038B">
        <w:rPr>
          <w:rFonts w:ascii="Tahoma" w:eastAsia="Times New Roman" w:hAnsi="Tahoma" w:cs="Times New Roman"/>
          <w:b/>
          <w:bCs/>
          <w:noProof/>
          <w:sz w:val="20"/>
          <w:szCs w:val="20"/>
          <w:lang w:val="en-IE"/>
        </w:rPr>
        <w:fldChar w:fldCharType="end"/>
      </w:r>
      <w:bookmarkEnd w:id="1"/>
      <w:r w:rsidRPr="0039038B">
        <w:rPr>
          <w:rFonts w:ascii="Tahoma" w:eastAsia="Times New Roman" w:hAnsi="Tahoma" w:cs="Times New Roman"/>
          <w:b/>
          <w:bCs/>
          <w:sz w:val="20"/>
          <w:szCs w:val="20"/>
          <w:lang w:val="en-IE"/>
        </w:rPr>
        <w:t xml:space="preserve"> Overarching Ecological Measures from the Signage Plan</w:t>
      </w:r>
      <w:bookmarkEnd w:id="2"/>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966"/>
      </w:tblGrid>
      <w:tr w:rsidR="0039038B" w:rsidRPr="0039038B" w:rsidTr="00AA396F">
        <w:tc>
          <w:tcPr>
            <w:tcW w:w="1277" w:type="dxa"/>
            <w:shd w:val="clear" w:color="auto" w:fill="auto"/>
          </w:tcPr>
          <w:p w:rsidR="0039038B" w:rsidRPr="0039038B" w:rsidRDefault="0039038B" w:rsidP="0039038B">
            <w:pPr>
              <w:spacing w:after="0" w:line="240" w:lineRule="auto"/>
              <w:rPr>
                <w:rFonts w:ascii="Tahoma" w:eastAsia="Times New Roman" w:hAnsi="Tahoma" w:cs="Tahoma"/>
                <w:b/>
                <w:sz w:val="16"/>
                <w:szCs w:val="16"/>
                <w:lang w:val="en-IE"/>
              </w:rPr>
            </w:pPr>
            <w:r w:rsidRPr="0039038B">
              <w:rPr>
                <w:rFonts w:ascii="Tahoma" w:eastAsia="Times New Roman" w:hAnsi="Tahoma" w:cs="Tahoma"/>
                <w:b/>
                <w:sz w:val="16"/>
                <w:szCs w:val="16"/>
                <w:lang w:val="en-IE"/>
              </w:rPr>
              <w:t xml:space="preserve">Title </w:t>
            </w: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b/>
                <w:sz w:val="16"/>
                <w:szCs w:val="16"/>
                <w:lang w:val="en-IE"/>
              </w:rPr>
            </w:pPr>
            <w:r w:rsidRPr="0039038B">
              <w:rPr>
                <w:rFonts w:ascii="Tahoma" w:eastAsia="Times New Roman" w:hAnsi="Tahoma" w:cs="Tahoma"/>
                <w:b/>
                <w:sz w:val="16"/>
                <w:szCs w:val="16"/>
                <w:lang w:val="en-IE"/>
              </w:rPr>
              <w:t>Requirement</w:t>
            </w:r>
            <w:r w:rsidRPr="0039038B">
              <w:rPr>
                <w:rFonts w:ascii="Tahoma" w:eastAsia="Times New Roman" w:hAnsi="Tahoma" w:cs="Tahoma"/>
                <w:b/>
                <w:sz w:val="16"/>
                <w:szCs w:val="16"/>
                <w:vertAlign w:val="superscript"/>
                <w:lang w:val="en-IE"/>
              </w:rPr>
              <w:footnoteReference w:id="1"/>
            </w:r>
          </w:p>
        </w:tc>
      </w:tr>
      <w:tr w:rsidR="0039038B" w:rsidRPr="0039038B" w:rsidTr="00AA396F">
        <w:tc>
          <w:tcPr>
            <w:tcW w:w="1277" w:type="dxa"/>
            <w:shd w:val="clear" w:color="auto" w:fill="auto"/>
          </w:tcPr>
          <w:p w:rsidR="0039038B" w:rsidRPr="0039038B" w:rsidRDefault="0039038B" w:rsidP="0039038B">
            <w:pPr>
              <w:spacing w:after="0" w:line="240" w:lineRule="auto"/>
              <w:jc w:val="both"/>
              <w:rPr>
                <w:rFonts w:ascii="Tahoma" w:eastAsia="Times New Roman" w:hAnsi="Tahoma" w:cs="Tahoma"/>
                <w:b/>
                <w:sz w:val="16"/>
                <w:szCs w:val="16"/>
                <w:lang w:val="en-IE"/>
              </w:rPr>
            </w:pPr>
            <w:r w:rsidRPr="0039038B">
              <w:rPr>
                <w:rFonts w:ascii="Tahoma" w:eastAsia="Times New Roman" w:hAnsi="Tahoma" w:cs="Tahoma"/>
                <w:b/>
                <w:sz w:val="16"/>
                <w:szCs w:val="16"/>
                <w:lang w:val="en-IE"/>
              </w:rPr>
              <w:t>Protection of Biodiversity including Natura 2000 Network</w:t>
            </w:r>
          </w:p>
        </w:tc>
        <w:tc>
          <w:tcPr>
            <w:tcW w:w="7966" w:type="dxa"/>
            <w:shd w:val="clear" w:color="auto" w:fill="auto"/>
          </w:tcPr>
          <w:p w:rsidR="0039038B" w:rsidRPr="0039038B" w:rsidRDefault="00AA396F" w:rsidP="0039038B">
            <w:pPr>
              <w:spacing w:after="0" w:line="240" w:lineRule="auto"/>
              <w:ind w:hanging="360"/>
              <w:contextualSpacing/>
              <w:rPr>
                <w:rFonts w:ascii="Tahoma" w:eastAsia="Calibri" w:hAnsi="Tahoma" w:cs="Tahoma"/>
                <w:sz w:val="16"/>
                <w:szCs w:val="16"/>
                <w:lang w:val="en-IE"/>
              </w:rPr>
            </w:pPr>
            <w:r>
              <w:rPr>
                <w:rFonts w:ascii="Tahoma" w:eastAsia="Calibri" w:hAnsi="Tahoma" w:cs="Tahoma"/>
                <w:sz w:val="16"/>
                <w:szCs w:val="16"/>
                <w:lang w:val="en-IE"/>
              </w:rPr>
              <w:t xml:space="preserve">       </w:t>
            </w:r>
            <w:r w:rsidR="0039038B" w:rsidRPr="0039038B">
              <w:rPr>
                <w:rFonts w:ascii="Tahoma" w:eastAsia="Calibri" w:hAnsi="Tahoma" w:cs="Tahoma"/>
                <w:sz w:val="16"/>
                <w:szCs w:val="16"/>
                <w:lang w:val="en-IE"/>
              </w:rPr>
              <w:t>The developer shall contribute, as appropriate, towards the protection of designated ecological sites including candidate Special Areas of Conservation  (</w:t>
            </w:r>
            <w:proofErr w:type="spellStart"/>
            <w:r w:rsidR="0039038B" w:rsidRPr="0039038B">
              <w:rPr>
                <w:rFonts w:ascii="Tahoma" w:eastAsia="Calibri" w:hAnsi="Tahoma" w:cs="Tahoma"/>
                <w:sz w:val="16"/>
                <w:szCs w:val="16"/>
                <w:lang w:val="en-IE"/>
              </w:rPr>
              <w:t>cSACs</w:t>
            </w:r>
            <w:proofErr w:type="spellEnd"/>
            <w:r w:rsidR="0039038B" w:rsidRPr="0039038B">
              <w:rPr>
                <w:rFonts w:ascii="Tahoma" w:eastAsia="Calibri" w:hAnsi="Tahoma" w:cs="Tahoma"/>
                <w:sz w:val="16"/>
                <w:szCs w:val="16"/>
                <w:lang w:val="en-IE"/>
              </w:rPr>
              <w:t xml:space="preserve">) and Special Protection Areas  (SPAs); </w:t>
            </w:r>
            <w:proofErr w:type="spellStart"/>
            <w:r w:rsidR="0039038B" w:rsidRPr="0039038B">
              <w:rPr>
                <w:rFonts w:ascii="Tahoma" w:eastAsia="Calibri" w:hAnsi="Tahoma" w:cs="Tahoma"/>
                <w:sz w:val="16"/>
                <w:szCs w:val="16"/>
                <w:lang w:val="en-IE"/>
              </w:rPr>
              <w:t>Ramsar</w:t>
            </w:r>
            <w:proofErr w:type="spellEnd"/>
            <w:r w:rsidR="0039038B" w:rsidRPr="0039038B">
              <w:rPr>
                <w:rFonts w:ascii="Tahoma" w:eastAsia="Calibri" w:hAnsi="Tahoma" w:cs="Tahoma"/>
                <w:sz w:val="16"/>
                <w:szCs w:val="16"/>
                <w:lang w:val="en-IE"/>
              </w:rPr>
              <w:t xml:space="preserve"> Sites; Salmonid Waters; Shellfish Waters; Freshwater Pearl Mussel catchments; Flora Protection Order  sites; Wildlife Sites (including Nature Reserves); certain entries to the Water Framework Directive Register of Protected Areas; Natural Heritage Areas (NHAs) and proposed Natural Heritage Areas (</w:t>
            </w:r>
            <w:proofErr w:type="spellStart"/>
            <w:r w:rsidR="0039038B" w:rsidRPr="0039038B">
              <w:rPr>
                <w:rFonts w:ascii="Tahoma" w:eastAsia="Calibri" w:hAnsi="Tahoma" w:cs="Tahoma"/>
                <w:sz w:val="16"/>
                <w:szCs w:val="16"/>
                <w:lang w:val="en-IE"/>
              </w:rPr>
              <w:t>pNHAs</w:t>
            </w:r>
            <w:proofErr w:type="spellEnd"/>
            <w:r w:rsidR="0039038B" w:rsidRPr="0039038B">
              <w:rPr>
                <w:rFonts w:ascii="Tahoma" w:eastAsia="Calibri" w:hAnsi="Tahoma" w:cs="Tahoma"/>
                <w:sz w:val="16"/>
                <w:szCs w:val="16"/>
                <w:lang w:val="en-IE"/>
              </w:rPr>
              <w:t>); Wildfowl Sanctuaries (see S.I. 192 of 1979) ; and Tree Preservation Orders (TPOs).</w:t>
            </w:r>
          </w:p>
          <w:p w:rsidR="0039038B" w:rsidRPr="0039038B" w:rsidRDefault="0039038B" w:rsidP="0039038B">
            <w:pPr>
              <w:spacing w:after="0" w:line="240" w:lineRule="auto"/>
              <w:ind w:hanging="360"/>
              <w:contextualSpacing/>
              <w:rPr>
                <w:rFonts w:ascii="Tahoma" w:eastAsia="Calibri" w:hAnsi="Tahoma" w:cs="Tahoma"/>
                <w:sz w:val="16"/>
                <w:szCs w:val="16"/>
                <w:lang w:val="en-IE"/>
              </w:rPr>
            </w:pPr>
          </w:p>
          <w:p w:rsidR="0039038B" w:rsidRPr="0039038B" w:rsidRDefault="00AA396F" w:rsidP="0039038B">
            <w:pPr>
              <w:spacing w:after="0" w:line="240" w:lineRule="auto"/>
              <w:ind w:hanging="360"/>
              <w:contextualSpacing/>
              <w:rPr>
                <w:rFonts w:ascii="Tahoma" w:eastAsia="Calibri" w:hAnsi="Tahoma" w:cs="Tahoma"/>
                <w:sz w:val="16"/>
                <w:szCs w:val="16"/>
                <w:lang w:val="en-IE"/>
              </w:rPr>
            </w:pPr>
            <w:r>
              <w:rPr>
                <w:rFonts w:ascii="Tahoma" w:eastAsia="Calibri" w:hAnsi="Tahoma" w:cs="Tahoma"/>
                <w:sz w:val="16"/>
                <w:szCs w:val="16"/>
                <w:lang w:val="en-IE"/>
              </w:rPr>
              <w:t xml:space="preserve">       </w:t>
            </w:r>
            <w:r w:rsidR="0039038B" w:rsidRPr="0039038B">
              <w:rPr>
                <w:rFonts w:ascii="Tahoma" w:eastAsia="Calibri" w:hAnsi="Tahoma" w:cs="Tahoma"/>
                <w:sz w:val="16"/>
                <w:szCs w:val="16"/>
                <w:lang w:val="en-IE"/>
              </w:rPr>
              <w:t>The developer shall demonstrate compliance with relevant EU Environmental Directives and applicable National Legislation, Policies, Plans and Guidelines, including the following and any updated/superseding documents:</w:t>
            </w:r>
          </w:p>
          <w:p w:rsidR="0039038B" w:rsidRPr="0039038B" w:rsidRDefault="0039038B" w:rsidP="0039038B">
            <w:pPr>
              <w:numPr>
                <w:ilvl w:val="0"/>
                <w:numId w:val="11"/>
              </w:numPr>
              <w:spacing w:after="0" w:line="240" w:lineRule="auto"/>
              <w:contextualSpacing/>
              <w:jc w:val="both"/>
              <w:rPr>
                <w:rFonts w:ascii="Tahoma" w:eastAsia="Calibri" w:hAnsi="Tahoma" w:cs="Tahoma"/>
                <w:sz w:val="16"/>
                <w:szCs w:val="16"/>
                <w:lang w:val="en-IE"/>
              </w:rPr>
            </w:pPr>
            <w:r w:rsidRPr="0039038B">
              <w:rPr>
                <w:rFonts w:ascii="Tahoma" w:eastAsia="Calibri" w:hAnsi="Tahoma" w:cs="Tahoma"/>
                <w:sz w:val="16"/>
                <w:szCs w:val="16"/>
                <w:lang w:val="en-IE"/>
              </w:rPr>
              <w:t>EU Directives, including the Habitats Directive (92/43/EEC, as amended)</w:t>
            </w:r>
            <w:r w:rsidRPr="0039038B">
              <w:rPr>
                <w:rFonts w:ascii="Tahoma" w:eastAsia="Calibri" w:hAnsi="Tahoma" w:cs="Tahoma"/>
                <w:sz w:val="16"/>
                <w:szCs w:val="16"/>
                <w:vertAlign w:val="superscript"/>
                <w:lang w:val="en-IE"/>
              </w:rPr>
              <w:footnoteReference w:id="2"/>
            </w:r>
            <w:r w:rsidRPr="0039038B">
              <w:rPr>
                <w:rFonts w:ascii="Tahoma" w:eastAsia="Calibri" w:hAnsi="Tahoma" w:cs="Tahoma"/>
                <w:sz w:val="16"/>
                <w:szCs w:val="16"/>
                <w:lang w:val="en-IE"/>
              </w:rPr>
              <w:t>, the Birds Directive (2009/147/EC)</w:t>
            </w:r>
            <w:r w:rsidRPr="0039038B">
              <w:rPr>
                <w:rFonts w:ascii="Tahoma" w:eastAsia="Calibri" w:hAnsi="Tahoma" w:cs="Tahoma"/>
                <w:sz w:val="16"/>
                <w:szCs w:val="16"/>
                <w:vertAlign w:val="superscript"/>
                <w:lang w:val="en-IE"/>
              </w:rPr>
              <w:footnoteReference w:id="3"/>
            </w:r>
            <w:r w:rsidRPr="0039038B">
              <w:rPr>
                <w:rFonts w:ascii="Tahoma" w:eastAsia="Calibri" w:hAnsi="Tahoma" w:cs="Tahoma"/>
                <w:sz w:val="16"/>
                <w:szCs w:val="16"/>
                <w:lang w:val="en-IE"/>
              </w:rPr>
              <w:t>, the Environmental Liability Directive (2004/35/EC)</w:t>
            </w:r>
            <w:r w:rsidRPr="0039038B">
              <w:rPr>
                <w:rFonts w:ascii="Tahoma" w:eastAsia="Calibri" w:hAnsi="Tahoma" w:cs="Tahoma"/>
                <w:sz w:val="16"/>
                <w:szCs w:val="16"/>
                <w:vertAlign w:val="superscript"/>
                <w:lang w:val="en-IE"/>
              </w:rPr>
              <w:footnoteReference w:id="4"/>
            </w:r>
            <w:r w:rsidRPr="0039038B">
              <w:rPr>
                <w:rFonts w:ascii="Tahoma" w:eastAsia="Calibri" w:hAnsi="Tahoma" w:cs="Tahoma"/>
                <w:sz w:val="16"/>
                <w:szCs w:val="16"/>
                <w:lang w:val="en-IE"/>
              </w:rPr>
              <w:t xml:space="preserve">, the Environmental Impact Assessment Directive (85/337/EEC, as amended), the Water Framework Directive (2000/60/EC) and the Strategic Environmental Assessment Directive (2001/42/EC). </w:t>
            </w:r>
          </w:p>
          <w:p w:rsidR="0039038B" w:rsidRPr="0039038B" w:rsidRDefault="0039038B" w:rsidP="0039038B">
            <w:pPr>
              <w:numPr>
                <w:ilvl w:val="0"/>
                <w:numId w:val="11"/>
              </w:numPr>
              <w:spacing w:after="0" w:line="240" w:lineRule="auto"/>
              <w:contextualSpacing/>
              <w:jc w:val="both"/>
              <w:rPr>
                <w:rFonts w:ascii="Tahoma" w:eastAsia="Calibri" w:hAnsi="Tahoma" w:cs="Tahoma"/>
                <w:sz w:val="16"/>
                <w:szCs w:val="16"/>
                <w:lang w:val="en-IE"/>
              </w:rPr>
            </w:pPr>
            <w:r w:rsidRPr="0039038B">
              <w:rPr>
                <w:rFonts w:ascii="Tahoma" w:eastAsia="Calibri" w:hAnsi="Tahoma" w:cs="Tahoma"/>
                <w:sz w:val="16"/>
                <w:szCs w:val="16"/>
                <w:lang w:val="en-IE"/>
              </w:rPr>
              <w:t>National legislation, including the Wildlife Act 1976</w:t>
            </w:r>
            <w:r w:rsidRPr="0039038B">
              <w:rPr>
                <w:rFonts w:ascii="Tahoma" w:eastAsia="Calibri" w:hAnsi="Tahoma" w:cs="Tahoma"/>
                <w:sz w:val="16"/>
                <w:szCs w:val="16"/>
                <w:vertAlign w:val="superscript"/>
                <w:lang w:val="en-IE"/>
              </w:rPr>
              <w:footnoteReference w:id="5"/>
            </w:r>
            <w:r w:rsidRPr="0039038B">
              <w:rPr>
                <w:rFonts w:ascii="Tahoma" w:eastAsia="Calibri" w:hAnsi="Tahoma" w:cs="Tahoma"/>
                <w:sz w:val="16"/>
                <w:szCs w:val="16"/>
                <w:lang w:val="en-IE"/>
              </w:rPr>
              <w:t>, the European Communities (Environmental Impact Assessment) Regulations 1989 (SI No. 349 of 1989) (as amended), the Wildlife (Amendment) Act 2000, the European Union (Water Policy) Regulations 2003 (as amended), the Planning and Development Act 2000 (as amended), the European Communities (Birds and Natural Habitats) Regulations 2011 (SI No. 477 of 2011), the European Communities (Environmental Liability) Regulations 2008</w:t>
            </w:r>
            <w:r w:rsidRPr="0039038B">
              <w:rPr>
                <w:rFonts w:ascii="Tahoma" w:eastAsia="Calibri" w:hAnsi="Tahoma" w:cs="Tahoma"/>
                <w:sz w:val="16"/>
                <w:szCs w:val="16"/>
                <w:vertAlign w:val="superscript"/>
                <w:lang w:val="en-IE"/>
              </w:rPr>
              <w:footnoteReference w:id="6"/>
            </w:r>
            <w:r w:rsidRPr="0039038B">
              <w:rPr>
                <w:rFonts w:ascii="Tahoma" w:eastAsia="Calibri" w:hAnsi="Tahoma" w:cs="Tahoma"/>
                <w:sz w:val="16"/>
                <w:szCs w:val="16"/>
                <w:lang w:val="en-IE"/>
              </w:rPr>
              <w:t xml:space="preserve"> and the Flora Protection Order 1999.</w:t>
            </w:r>
          </w:p>
          <w:p w:rsidR="0039038B" w:rsidRPr="0039038B" w:rsidRDefault="0039038B" w:rsidP="0039038B">
            <w:pPr>
              <w:numPr>
                <w:ilvl w:val="0"/>
                <w:numId w:val="11"/>
              </w:numPr>
              <w:spacing w:after="0" w:line="240" w:lineRule="auto"/>
              <w:contextualSpacing/>
              <w:jc w:val="both"/>
              <w:rPr>
                <w:rFonts w:ascii="Tahoma" w:eastAsia="Calibri" w:hAnsi="Tahoma" w:cs="Tahoma"/>
                <w:sz w:val="16"/>
                <w:szCs w:val="16"/>
                <w:lang w:val="en-IE"/>
              </w:rPr>
            </w:pPr>
            <w:r w:rsidRPr="0039038B">
              <w:rPr>
                <w:rFonts w:ascii="Tahoma" w:eastAsia="Calibri" w:hAnsi="Tahoma" w:cs="Tahoma"/>
                <w:sz w:val="16"/>
                <w:szCs w:val="16"/>
                <w:lang w:val="en-IE"/>
              </w:rPr>
              <w:t>Catchment and water resource management Plans, including River Basin District Management Plans 2009-2015 (including any superseding versions of same).</w:t>
            </w:r>
          </w:p>
          <w:p w:rsidR="0039038B" w:rsidRPr="0039038B" w:rsidRDefault="0039038B" w:rsidP="0039038B">
            <w:pPr>
              <w:numPr>
                <w:ilvl w:val="0"/>
                <w:numId w:val="11"/>
              </w:numPr>
              <w:spacing w:after="0" w:line="240" w:lineRule="auto"/>
              <w:contextualSpacing/>
              <w:jc w:val="both"/>
              <w:rPr>
                <w:rFonts w:ascii="Tahoma" w:eastAsia="Calibri" w:hAnsi="Tahoma" w:cs="Tahoma"/>
                <w:sz w:val="16"/>
                <w:szCs w:val="16"/>
                <w:lang w:val="en-IE"/>
              </w:rPr>
            </w:pPr>
            <w:r w:rsidRPr="0039038B">
              <w:rPr>
                <w:rFonts w:ascii="Tahoma" w:eastAsia="Calibri" w:hAnsi="Tahoma" w:cs="Tahoma"/>
                <w:sz w:val="16"/>
                <w:szCs w:val="16"/>
                <w:lang w:val="en-IE"/>
              </w:rPr>
              <w:t>Biodiversity Plans and guidelines, including Actions for Biodiversity 2011-2016: Ireland’s 2</w:t>
            </w:r>
            <w:r w:rsidRPr="0039038B">
              <w:rPr>
                <w:rFonts w:ascii="Tahoma" w:eastAsia="Calibri" w:hAnsi="Tahoma" w:cs="Tahoma"/>
                <w:sz w:val="16"/>
                <w:szCs w:val="16"/>
                <w:vertAlign w:val="superscript"/>
                <w:lang w:val="en-IE"/>
              </w:rPr>
              <w:t>nd</w:t>
            </w:r>
            <w:r w:rsidRPr="0039038B">
              <w:rPr>
                <w:rFonts w:ascii="Tahoma" w:eastAsia="Calibri" w:hAnsi="Tahoma" w:cs="Tahoma"/>
                <w:sz w:val="16"/>
                <w:szCs w:val="16"/>
                <w:lang w:val="en-IE"/>
              </w:rPr>
              <w:t xml:space="preserve"> National Biodiversity Plan (including any superseding version of same).</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t xml:space="preserve">        </w:t>
            </w:r>
            <w:r w:rsidR="0039038B" w:rsidRPr="0039038B">
              <w:rPr>
                <w:rFonts w:ascii="Tahoma" w:eastAsia="Calibri" w:hAnsi="Tahoma" w:cs="Tahoma"/>
                <w:b/>
                <w:sz w:val="16"/>
                <w:szCs w:val="16"/>
                <w:lang w:val="en-IE"/>
              </w:rPr>
              <w:t>Appropriate Assessment</w:t>
            </w:r>
          </w:p>
          <w:p w:rsidR="0039038B" w:rsidRPr="0039038B" w:rsidRDefault="0039038B" w:rsidP="0039038B">
            <w:pPr>
              <w:spacing w:after="0" w:line="240" w:lineRule="auto"/>
              <w:jc w:val="both"/>
              <w:rPr>
                <w:rFonts w:ascii="Tahoma" w:eastAsia="Times New Roman" w:hAnsi="Tahoma" w:cs="Tahoma"/>
                <w:b/>
                <w:sz w:val="16"/>
                <w:szCs w:val="16"/>
                <w:lang w:val="en-IE"/>
              </w:rPr>
            </w:pPr>
          </w:p>
        </w:tc>
        <w:tc>
          <w:tcPr>
            <w:tcW w:w="7966" w:type="dxa"/>
            <w:shd w:val="clear" w:color="auto" w:fill="auto"/>
          </w:tcPr>
          <w:p w:rsidR="0039038B" w:rsidRPr="0039038B" w:rsidRDefault="00AA396F" w:rsidP="0039038B">
            <w:pPr>
              <w:spacing w:after="0" w:line="240" w:lineRule="auto"/>
              <w:ind w:hanging="360"/>
              <w:contextualSpacing/>
              <w:rPr>
                <w:rFonts w:ascii="Tahoma" w:eastAsia="Calibri" w:hAnsi="Tahoma" w:cs="Tahoma"/>
                <w:sz w:val="16"/>
                <w:szCs w:val="16"/>
                <w:lang w:val="en-IE"/>
              </w:rPr>
            </w:pPr>
            <w:r>
              <w:rPr>
                <w:rFonts w:ascii="Tahoma" w:eastAsia="Calibri" w:hAnsi="Tahoma" w:cs="Tahoma"/>
                <w:sz w:val="16"/>
                <w:szCs w:val="16"/>
                <w:lang w:val="en-IE"/>
              </w:rPr>
              <w:t xml:space="preserve">       </w:t>
            </w:r>
            <w:r w:rsidR="0039038B" w:rsidRPr="0039038B">
              <w:rPr>
                <w:rFonts w:ascii="Tahoma" w:eastAsia="Calibri" w:hAnsi="Tahoma" w:cs="Tahoma"/>
                <w:sz w:val="16"/>
                <w:szCs w:val="16"/>
                <w:lang w:val="en-IE"/>
              </w:rPr>
              <w:t xml:space="preserve">Decision making processes will include project level Appropriate Assessment (AA) as appropriate. Proposals for development must be screened for the need to undertake AA as per the European Communities (Birds and Natural Habitats) Regulations 2011 (Part 5, Section 42). </w:t>
            </w:r>
          </w:p>
          <w:p w:rsidR="0039038B" w:rsidRPr="0039038B" w:rsidRDefault="0039038B" w:rsidP="0039038B">
            <w:pPr>
              <w:spacing w:after="0" w:line="240" w:lineRule="auto"/>
              <w:ind w:hanging="360"/>
              <w:contextualSpacing/>
              <w:rPr>
                <w:rFonts w:ascii="Tahoma" w:eastAsia="Calibri" w:hAnsi="Tahoma" w:cs="Tahoma"/>
                <w:sz w:val="16"/>
                <w:szCs w:val="16"/>
                <w:lang w:val="en-IE"/>
              </w:rPr>
            </w:pPr>
          </w:p>
          <w:p w:rsidR="0039038B" w:rsidRPr="0039038B" w:rsidRDefault="00AA396F" w:rsidP="0039038B">
            <w:pPr>
              <w:spacing w:after="0" w:line="240" w:lineRule="auto"/>
              <w:ind w:hanging="360"/>
              <w:contextualSpacing/>
              <w:rPr>
                <w:rFonts w:ascii="Tahoma" w:eastAsia="Calibri" w:hAnsi="Tahoma" w:cs="Tahoma"/>
                <w:sz w:val="16"/>
                <w:szCs w:val="16"/>
                <w:lang w:val="en-IE"/>
              </w:rPr>
            </w:pPr>
            <w:r>
              <w:rPr>
                <w:rFonts w:ascii="Tahoma" w:eastAsia="Calibri" w:hAnsi="Tahoma" w:cs="Tahoma"/>
                <w:sz w:val="16"/>
                <w:szCs w:val="16"/>
                <w:lang w:val="en-IE"/>
              </w:rPr>
              <w:t xml:space="preserve">       </w:t>
            </w:r>
            <w:r w:rsidR="0039038B" w:rsidRPr="0039038B">
              <w:rPr>
                <w:rFonts w:ascii="Tahoma" w:eastAsia="Calibri" w:hAnsi="Tahoma" w:cs="Tahoma"/>
                <w:sz w:val="16"/>
                <w:szCs w:val="16"/>
                <w:lang w:val="en-IE"/>
              </w:rPr>
              <w:t xml:space="preserve">[Note that: A local authority is unlikely to carry out an AA of their own development as the competent authority in such instances is likely to be An </w:t>
            </w:r>
            <w:proofErr w:type="spellStart"/>
            <w:r w:rsidR="0039038B" w:rsidRPr="0039038B">
              <w:rPr>
                <w:rFonts w:ascii="Tahoma" w:eastAsia="Calibri" w:hAnsi="Tahoma" w:cs="Tahoma"/>
                <w:sz w:val="16"/>
                <w:szCs w:val="16"/>
                <w:lang w:val="en-IE"/>
              </w:rPr>
              <w:t>Bord</w:t>
            </w:r>
            <w:proofErr w:type="spellEnd"/>
            <w:r w:rsidR="0039038B" w:rsidRPr="0039038B">
              <w:rPr>
                <w:rFonts w:ascii="Tahoma" w:eastAsia="Calibri" w:hAnsi="Tahoma" w:cs="Tahoma"/>
                <w:sz w:val="16"/>
                <w:szCs w:val="16"/>
                <w:lang w:val="en-IE"/>
              </w:rPr>
              <w:t xml:space="preserve"> </w:t>
            </w:r>
            <w:proofErr w:type="spellStart"/>
            <w:r w:rsidR="0039038B" w:rsidRPr="0039038B">
              <w:rPr>
                <w:rFonts w:ascii="Tahoma" w:eastAsia="Calibri" w:hAnsi="Tahoma" w:cs="Tahoma"/>
                <w:sz w:val="16"/>
                <w:szCs w:val="16"/>
                <w:lang w:val="en-IE"/>
              </w:rPr>
              <w:t>Pleanála</w:t>
            </w:r>
            <w:proofErr w:type="spellEnd"/>
            <w:r w:rsidR="0039038B" w:rsidRPr="0039038B">
              <w:rPr>
                <w:rFonts w:ascii="Tahoma" w:eastAsia="Calibri" w:hAnsi="Tahoma" w:cs="Tahoma"/>
                <w:sz w:val="16"/>
                <w:szCs w:val="16"/>
                <w:lang w:val="en-IE"/>
              </w:rPr>
              <w:t xml:space="preserve">. A local authority must screen proposed developments for AA to determine whether a Section 177AE application to An </w:t>
            </w:r>
            <w:proofErr w:type="spellStart"/>
            <w:r w:rsidR="0039038B" w:rsidRPr="0039038B">
              <w:rPr>
                <w:rFonts w:ascii="Tahoma" w:eastAsia="Calibri" w:hAnsi="Tahoma" w:cs="Tahoma"/>
                <w:sz w:val="16"/>
                <w:szCs w:val="16"/>
                <w:lang w:val="en-IE"/>
              </w:rPr>
              <w:t>Bord</w:t>
            </w:r>
            <w:proofErr w:type="spellEnd"/>
            <w:r w:rsidR="0039038B" w:rsidRPr="0039038B">
              <w:rPr>
                <w:rFonts w:ascii="Tahoma" w:eastAsia="Calibri" w:hAnsi="Tahoma" w:cs="Tahoma"/>
                <w:sz w:val="16"/>
                <w:szCs w:val="16"/>
                <w:lang w:val="en-IE"/>
              </w:rPr>
              <w:t xml:space="preserve"> </w:t>
            </w:r>
            <w:proofErr w:type="spellStart"/>
            <w:r w:rsidR="0039038B" w:rsidRPr="0039038B">
              <w:rPr>
                <w:rFonts w:ascii="Tahoma" w:eastAsia="Calibri" w:hAnsi="Tahoma" w:cs="Tahoma"/>
                <w:sz w:val="16"/>
                <w:szCs w:val="16"/>
                <w:lang w:val="en-IE"/>
              </w:rPr>
              <w:t>Pleanála</w:t>
            </w:r>
            <w:proofErr w:type="spellEnd"/>
            <w:r w:rsidR="0039038B" w:rsidRPr="0039038B">
              <w:rPr>
                <w:rFonts w:ascii="Tahoma" w:eastAsia="Calibri" w:hAnsi="Tahoma" w:cs="Tahoma"/>
                <w:sz w:val="16"/>
                <w:szCs w:val="16"/>
                <w:lang w:val="en-IE"/>
              </w:rPr>
              <w:t xml:space="preserve"> is required. If proposals are screened out then planning exemptions are not lost. If a Stage 2 AA is required then planning exemptions are lost and planning permission must be sought</w:t>
            </w:r>
            <w:r w:rsidR="0039038B" w:rsidRPr="0039038B">
              <w:rPr>
                <w:rFonts w:ascii="Tahoma" w:eastAsia="Calibri" w:hAnsi="Tahoma" w:cs="Tahoma"/>
                <w:sz w:val="16"/>
                <w:szCs w:val="16"/>
                <w:vertAlign w:val="superscript"/>
                <w:lang w:val="en-IE"/>
              </w:rPr>
              <w:footnoteReference w:id="7"/>
            </w:r>
            <w:r w:rsidR="0039038B" w:rsidRPr="0039038B">
              <w:rPr>
                <w:rFonts w:ascii="Tahoma" w:eastAsia="Calibri" w:hAnsi="Tahoma" w:cs="Tahoma"/>
                <w:sz w:val="16"/>
                <w:szCs w:val="16"/>
                <w:lang w:val="en-IE"/>
              </w:rPr>
              <w:t xml:space="preserve">. If a local authority is applying for the permission and Stage 2 AA is required, then the application must go to An </w:t>
            </w:r>
            <w:proofErr w:type="spellStart"/>
            <w:r w:rsidR="0039038B" w:rsidRPr="0039038B">
              <w:rPr>
                <w:rFonts w:ascii="Tahoma" w:eastAsia="Calibri" w:hAnsi="Tahoma" w:cs="Tahoma"/>
                <w:sz w:val="16"/>
                <w:szCs w:val="16"/>
                <w:lang w:val="en-IE"/>
              </w:rPr>
              <w:t>Bord</w:t>
            </w:r>
            <w:proofErr w:type="spellEnd"/>
            <w:r w:rsidR="0039038B" w:rsidRPr="0039038B">
              <w:rPr>
                <w:rFonts w:ascii="Tahoma" w:eastAsia="Calibri" w:hAnsi="Tahoma" w:cs="Tahoma"/>
                <w:sz w:val="16"/>
                <w:szCs w:val="16"/>
                <w:lang w:val="en-IE"/>
              </w:rPr>
              <w:t xml:space="preserve"> </w:t>
            </w:r>
            <w:proofErr w:type="spellStart"/>
            <w:r w:rsidR="0039038B" w:rsidRPr="0039038B">
              <w:rPr>
                <w:rFonts w:ascii="Tahoma" w:eastAsia="Calibri" w:hAnsi="Tahoma" w:cs="Tahoma"/>
                <w:sz w:val="16"/>
                <w:szCs w:val="16"/>
                <w:lang w:val="en-IE"/>
              </w:rPr>
              <w:t>Pleanála</w:t>
            </w:r>
            <w:proofErr w:type="spellEnd"/>
            <w:r w:rsidR="0039038B" w:rsidRPr="0039038B">
              <w:rPr>
                <w:rFonts w:ascii="Tahoma" w:eastAsia="Calibri" w:hAnsi="Tahoma" w:cs="Tahoma"/>
                <w:sz w:val="16"/>
                <w:szCs w:val="16"/>
                <w:lang w:val="en-IE"/>
              </w:rPr>
              <w:t>.]</w:t>
            </w:r>
          </w:p>
          <w:p w:rsidR="0039038B" w:rsidRPr="0039038B" w:rsidRDefault="0039038B" w:rsidP="0039038B">
            <w:pPr>
              <w:spacing w:after="0" w:line="240" w:lineRule="auto"/>
              <w:ind w:hanging="360"/>
              <w:contextualSpacing/>
              <w:rPr>
                <w:rFonts w:ascii="Tahoma" w:eastAsia="Calibri" w:hAnsi="Tahoma" w:cs="Tahoma"/>
                <w:sz w:val="16"/>
                <w:szCs w:val="16"/>
                <w:lang w:val="en-IE"/>
              </w:rPr>
            </w:pPr>
          </w:p>
          <w:p w:rsidR="0039038B" w:rsidRPr="0039038B" w:rsidRDefault="00AA396F" w:rsidP="0039038B">
            <w:pPr>
              <w:spacing w:after="0" w:line="240" w:lineRule="auto"/>
              <w:ind w:hanging="360"/>
              <w:contextualSpacing/>
              <w:rPr>
                <w:rFonts w:ascii="Tahoma" w:eastAsia="Calibri" w:hAnsi="Tahoma" w:cs="Tahoma"/>
                <w:sz w:val="16"/>
                <w:szCs w:val="16"/>
                <w:lang w:val="en-IE"/>
              </w:rPr>
            </w:pPr>
            <w:r>
              <w:rPr>
                <w:rFonts w:ascii="Tahoma" w:eastAsia="Calibri" w:hAnsi="Tahoma" w:cs="Tahoma"/>
                <w:sz w:val="16"/>
                <w:szCs w:val="16"/>
                <w:lang w:val="en-IE"/>
              </w:rPr>
              <w:t xml:space="preserve">       </w:t>
            </w:r>
            <w:r w:rsidR="0039038B" w:rsidRPr="0039038B">
              <w:rPr>
                <w:rFonts w:ascii="Tahoma" w:eastAsia="Calibri" w:hAnsi="Tahoma" w:cs="Tahoma"/>
                <w:sz w:val="16"/>
                <w:szCs w:val="16"/>
                <w:lang w:val="en-IE"/>
              </w:rPr>
              <w:t>A plan or project will only be authorised after the competent authority has ascertained, based on scientific evidence, Screening for Appropriate Assessment, and a Stage 2 Appropriate Assessment where necessary, that:</w:t>
            </w:r>
          </w:p>
          <w:p w:rsidR="0039038B" w:rsidRPr="0039038B" w:rsidRDefault="0039038B" w:rsidP="0039038B">
            <w:pPr>
              <w:numPr>
                <w:ilvl w:val="0"/>
                <w:numId w:val="12"/>
              </w:numPr>
              <w:spacing w:after="0" w:line="240" w:lineRule="auto"/>
              <w:contextualSpacing/>
              <w:jc w:val="both"/>
              <w:rPr>
                <w:rFonts w:ascii="Tahoma" w:eastAsia="Calibri" w:hAnsi="Tahoma" w:cs="Tahoma"/>
                <w:sz w:val="16"/>
                <w:szCs w:val="16"/>
                <w:lang w:val="en-IE"/>
              </w:rPr>
            </w:pPr>
            <w:r w:rsidRPr="0039038B">
              <w:rPr>
                <w:rFonts w:ascii="Tahoma" w:eastAsia="Calibri" w:hAnsi="Tahoma" w:cs="Tahoma"/>
                <w:sz w:val="16"/>
                <w:szCs w:val="16"/>
                <w:lang w:val="en-IE"/>
              </w:rPr>
              <w:t xml:space="preserve">The Plan or project will not give rise to significant adverse direct, indirect or secondary effects on </w:t>
            </w:r>
            <w:r w:rsidRPr="0039038B">
              <w:rPr>
                <w:rFonts w:ascii="Tahoma" w:eastAsia="Calibri" w:hAnsi="Tahoma" w:cs="Tahoma"/>
                <w:sz w:val="16"/>
                <w:szCs w:val="16"/>
                <w:lang w:val="en-IE"/>
              </w:rPr>
              <w:lastRenderedPageBreak/>
              <w:t xml:space="preserve">the integrity of any European site (either individually or in combination with other plans or projects); or </w:t>
            </w:r>
          </w:p>
          <w:p w:rsidR="0039038B" w:rsidRPr="0039038B" w:rsidRDefault="0039038B" w:rsidP="0039038B">
            <w:pPr>
              <w:numPr>
                <w:ilvl w:val="0"/>
                <w:numId w:val="12"/>
              </w:numPr>
              <w:spacing w:after="0" w:line="240" w:lineRule="auto"/>
              <w:contextualSpacing/>
              <w:jc w:val="both"/>
              <w:rPr>
                <w:rFonts w:ascii="Tahoma" w:eastAsia="Calibri" w:hAnsi="Tahoma" w:cs="Tahoma"/>
                <w:sz w:val="16"/>
                <w:szCs w:val="16"/>
                <w:lang w:val="en-IE"/>
              </w:rPr>
            </w:pPr>
            <w:r w:rsidRPr="0039038B">
              <w:rPr>
                <w:rFonts w:ascii="Tahoma" w:eastAsia="Calibri" w:hAnsi="Tahoma" w:cs="Tahoma"/>
                <w:sz w:val="16"/>
                <w:szCs w:val="16"/>
                <w:lang w:val="en-IE"/>
              </w:rPr>
              <w:t>The Plan or project will have significant adverse effects on the integrity of any European site (that does not host a priority natural habitat type/and or a priority species) but there are no alternative solutions and the plan or project must nevertheless be carried out for imperative reasons of overriding public interest, including those of a social or economic nature. In this case, it will be a requirement to follow procedures set out in legislation and agree and undertake all compensatory measures necessary to ensure the protection of the overall coherence of Natura 2000; or</w:t>
            </w:r>
          </w:p>
          <w:p w:rsidR="0039038B" w:rsidRPr="0039038B" w:rsidRDefault="0039038B" w:rsidP="0039038B">
            <w:pPr>
              <w:numPr>
                <w:ilvl w:val="0"/>
                <w:numId w:val="12"/>
              </w:numPr>
              <w:spacing w:after="0" w:line="240" w:lineRule="auto"/>
              <w:contextualSpacing/>
              <w:jc w:val="both"/>
              <w:rPr>
                <w:rFonts w:ascii="Tahoma" w:eastAsia="Calibri" w:hAnsi="Tahoma" w:cs="Tahoma"/>
                <w:sz w:val="16"/>
                <w:szCs w:val="16"/>
                <w:lang w:val="en-IE"/>
              </w:rPr>
            </w:pPr>
            <w:r w:rsidRPr="0039038B">
              <w:rPr>
                <w:rFonts w:ascii="Tahoma" w:eastAsia="Calibri" w:hAnsi="Tahoma" w:cs="Tahoma"/>
                <w:sz w:val="16"/>
                <w:szCs w:val="16"/>
                <w:lang w:val="en-IE"/>
              </w:rPr>
              <w:t>The Plan or project will have a significant adverse effect on the integrity of any European site (that hosts a natural habitat type and/or a priority species) but there are no alternative solutions and the plan or project must nevertheless be carried out for imperative reasons for overriding public interest, restricted to reasons of human health or public safety, to beneficial consequences of primary importance for the environment or, further to an opinion from the Commission, to other imperative reasons of overriding public interest. In this case, it will be a requirement to follow procedures set out in legislation and agree and undertake all compensatory measures necessary to ensure the protection of the overall coherence of Natura 2000.</w:t>
            </w:r>
          </w:p>
          <w:p w:rsidR="0039038B" w:rsidRPr="0039038B" w:rsidRDefault="0039038B" w:rsidP="0039038B">
            <w:pPr>
              <w:spacing w:after="0" w:line="240" w:lineRule="auto"/>
              <w:ind w:hanging="360"/>
              <w:contextualSpacing/>
              <w:rPr>
                <w:rFonts w:ascii="Tahoma" w:eastAsia="Calibri" w:hAnsi="Tahoma" w:cs="Tahoma"/>
                <w:sz w:val="16"/>
                <w:szCs w:val="16"/>
                <w:lang w:val="en-IE"/>
              </w:rPr>
            </w:pPr>
          </w:p>
          <w:p w:rsidR="0039038B" w:rsidRPr="0039038B" w:rsidRDefault="00AA396F" w:rsidP="0039038B">
            <w:pPr>
              <w:spacing w:after="0" w:line="240" w:lineRule="auto"/>
              <w:ind w:hanging="360"/>
              <w:contextualSpacing/>
              <w:rPr>
                <w:rFonts w:ascii="Tahoma" w:eastAsia="Calibri" w:hAnsi="Tahoma" w:cs="Tahoma"/>
                <w:sz w:val="16"/>
                <w:szCs w:val="16"/>
                <w:lang w:val="en-US"/>
              </w:rPr>
            </w:pPr>
            <w:r>
              <w:rPr>
                <w:rFonts w:ascii="Tahoma" w:eastAsia="Calibri" w:hAnsi="Tahoma" w:cs="Tahoma"/>
                <w:sz w:val="16"/>
                <w:szCs w:val="16"/>
                <w:lang w:val="en-IE"/>
              </w:rPr>
              <w:t xml:space="preserve">       </w:t>
            </w:r>
            <w:r w:rsidR="0039038B" w:rsidRPr="0039038B">
              <w:rPr>
                <w:rFonts w:ascii="Tahoma" w:eastAsia="Calibri" w:hAnsi="Tahoma" w:cs="Tahoma"/>
                <w:sz w:val="16"/>
                <w:szCs w:val="16"/>
                <w:lang w:val="en-IE"/>
              </w:rPr>
              <w:t xml:space="preserve">The methodology followed by the Appropriate Assessment should follow, as relevant and appropriate, that outlined in </w:t>
            </w:r>
            <w:r w:rsidR="0039038B" w:rsidRPr="0039038B">
              <w:rPr>
                <w:rFonts w:ascii="Tahoma" w:eastAsia="Calibri" w:hAnsi="Tahoma" w:cs="Tahoma"/>
                <w:sz w:val="16"/>
                <w:szCs w:val="16"/>
                <w:lang w:val="en-US"/>
              </w:rPr>
              <w:t xml:space="preserve">DEHLG (2009) </w:t>
            </w:r>
            <w:r w:rsidR="0039038B" w:rsidRPr="0039038B">
              <w:rPr>
                <w:rFonts w:ascii="Tahoma" w:eastAsia="Calibri" w:hAnsi="Tahoma" w:cs="Tahoma"/>
                <w:i/>
                <w:sz w:val="16"/>
                <w:szCs w:val="16"/>
                <w:lang w:val="en-US"/>
              </w:rPr>
              <w:t>Appropriate Assessment of Plans &amp; Projects - Guidance for Planning Authorities</w:t>
            </w:r>
            <w:r w:rsidR="0039038B" w:rsidRPr="0039038B">
              <w:rPr>
                <w:rFonts w:ascii="Tahoma" w:eastAsia="Calibri" w:hAnsi="Tahoma" w:cs="Tahoma"/>
                <w:sz w:val="16"/>
                <w:szCs w:val="16"/>
                <w:lang w:val="en-US"/>
              </w:rPr>
              <w:t>.</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lastRenderedPageBreak/>
              <w:t xml:space="preserve">       </w:t>
            </w:r>
            <w:r w:rsidR="0039038B" w:rsidRPr="0039038B">
              <w:rPr>
                <w:rFonts w:ascii="Tahoma" w:eastAsia="Calibri" w:hAnsi="Tahoma" w:cs="Tahoma"/>
                <w:b/>
                <w:sz w:val="16"/>
                <w:szCs w:val="16"/>
                <w:lang w:val="en-IE"/>
              </w:rPr>
              <w:t>Protection of Natura 2000 Sites</w:t>
            </w:r>
          </w:p>
          <w:p w:rsidR="0039038B" w:rsidRPr="0039038B" w:rsidRDefault="0039038B" w:rsidP="0039038B">
            <w:pPr>
              <w:spacing w:after="0" w:line="240" w:lineRule="auto"/>
              <w:jc w:val="both"/>
              <w:rPr>
                <w:rFonts w:ascii="Tahoma" w:eastAsia="Times New Roman" w:hAnsi="Tahoma" w:cs="Tahoma"/>
                <w:b/>
                <w:sz w:val="16"/>
                <w:szCs w:val="16"/>
                <w:lang w:val="en-IE"/>
              </w:rPr>
            </w:pP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No projects giving rise to significant cumulative, direct, indirect or secondary impacts on Natura 2000 sites arising from their size or scale, land take, proximity, resource requirements, emissions (disposal to land, water or air), transportation requirements, duration of construction, operation, decommissioning or from any other effects shall be permitted on the basis of the Signage Plan (either individually or in combination with other plans or projects</w:t>
            </w:r>
            <w:r w:rsidRPr="0039038B">
              <w:rPr>
                <w:rFonts w:ascii="Tahoma" w:eastAsia="Times New Roman" w:hAnsi="Tahoma" w:cs="Tahoma"/>
                <w:sz w:val="16"/>
                <w:szCs w:val="16"/>
                <w:vertAlign w:val="superscript"/>
                <w:lang w:val="en-IE"/>
              </w:rPr>
              <w:footnoteReference w:id="8"/>
            </w:r>
            <w:r w:rsidRPr="0039038B">
              <w:rPr>
                <w:rFonts w:ascii="Tahoma" w:eastAsia="Times New Roman" w:hAnsi="Tahoma" w:cs="Tahoma"/>
                <w:sz w:val="16"/>
                <w:szCs w:val="16"/>
                <w:lang w:val="en-IE"/>
              </w:rPr>
              <w:t>).</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t xml:space="preserve">        </w:t>
            </w:r>
            <w:r w:rsidR="0039038B" w:rsidRPr="0039038B">
              <w:rPr>
                <w:rFonts w:ascii="Tahoma" w:eastAsia="Calibri" w:hAnsi="Tahoma" w:cs="Tahoma"/>
                <w:b/>
                <w:sz w:val="16"/>
                <w:szCs w:val="16"/>
                <w:lang w:val="en-IE"/>
              </w:rPr>
              <w:t>NPWS &amp; Integrated Management Plans</w:t>
            </w:r>
          </w:p>
          <w:p w:rsidR="0039038B" w:rsidRPr="0039038B" w:rsidRDefault="0039038B" w:rsidP="0039038B">
            <w:pPr>
              <w:spacing w:after="0" w:line="240" w:lineRule="auto"/>
              <w:jc w:val="both"/>
              <w:rPr>
                <w:rFonts w:ascii="Tahoma" w:eastAsia="Times New Roman" w:hAnsi="Tahoma" w:cs="Tahoma"/>
                <w:b/>
                <w:sz w:val="16"/>
                <w:szCs w:val="16"/>
                <w:lang w:val="en-IE"/>
              </w:rPr>
            </w:pP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sz w:val="16"/>
                <w:szCs w:val="16"/>
                <w:lang w:val="en-US"/>
              </w:rPr>
            </w:pPr>
            <w:r w:rsidRPr="0039038B">
              <w:rPr>
                <w:rFonts w:ascii="Tahoma" w:eastAsia="Times New Roman" w:hAnsi="Tahoma" w:cs="Tahoma"/>
                <w:sz w:val="16"/>
                <w:szCs w:val="16"/>
                <w:lang w:val="en-IE"/>
              </w:rPr>
              <w:t>Regarding, integrated management plans, Article 6(1) of the Habitats Directive requires that Member States establish the necessary conservation measures for Special Area of Conservation involving, if need be, appropriate management plans specifically designed for the sites or integrated into other development plans.</w:t>
            </w:r>
            <w:r w:rsidRPr="0039038B">
              <w:rPr>
                <w:rFonts w:ascii="Tahoma" w:eastAsia="Times New Roman" w:hAnsi="Tahoma" w:cs="Tahoma"/>
                <w:sz w:val="16"/>
                <w:szCs w:val="16"/>
                <w:lang w:val="en-US"/>
              </w:rPr>
              <w:t xml:space="preserve"> The NPWS’s current priority is to identify site specific conservation objectives; management plans may be considered after this is done. </w:t>
            </w:r>
          </w:p>
          <w:p w:rsidR="0039038B" w:rsidRPr="0039038B" w:rsidRDefault="0039038B" w:rsidP="0039038B">
            <w:pPr>
              <w:spacing w:after="0" w:line="240" w:lineRule="auto"/>
              <w:jc w:val="both"/>
              <w:rPr>
                <w:rFonts w:ascii="Tahoma" w:eastAsia="Times New Roman" w:hAnsi="Tahoma" w:cs="Tahoma"/>
                <w:sz w:val="16"/>
                <w:szCs w:val="16"/>
                <w:lang w:val="en-IE"/>
              </w:rPr>
            </w:pPr>
          </w:p>
          <w:p w:rsidR="0039038B" w:rsidRPr="0039038B" w:rsidRDefault="0039038B" w:rsidP="0039038B">
            <w:pPr>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Where Integrated Management Plans are being prepared for Natura sites (or parts thereof), Fáilte Ireland and developers shall engage with the National Parks and Wildlife Service in order to ensure that plans are fully integrated with the Signage Plan and other plans and programmes, with the intention that such plans are practical, achievable and sustainable and have regard to all relevant ecological, cultural, social and economic considerations and with special regard to local communities.</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t xml:space="preserve">        </w:t>
            </w:r>
            <w:r w:rsidR="0039038B" w:rsidRPr="0039038B">
              <w:rPr>
                <w:rFonts w:ascii="Tahoma" w:eastAsia="Calibri" w:hAnsi="Tahoma" w:cs="Tahoma"/>
                <w:b/>
                <w:sz w:val="16"/>
                <w:szCs w:val="16"/>
                <w:lang w:val="en-IE"/>
              </w:rPr>
              <w:t>Coastal Zone Management</w:t>
            </w:r>
          </w:p>
          <w:p w:rsidR="0039038B" w:rsidRPr="0039038B" w:rsidRDefault="0039038B" w:rsidP="0039038B">
            <w:pPr>
              <w:spacing w:after="0" w:line="240" w:lineRule="auto"/>
              <w:ind w:hanging="360"/>
              <w:contextualSpacing/>
              <w:rPr>
                <w:rFonts w:ascii="Tahoma" w:eastAsia="Calibri" w:hAnsi="Tahoma" w:cs="Tahoma"/>
                <w:b/>
                <w:sz w:val="16"/>
                <w:szCs w:val="16"/>
                <w:lang w:val="en-IE"/>
              </w:rPr>
            </w:pP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Developers shall demonstrate that any works in coastal zones will be undertaken in accordance with best practice and developers shall, as appropriate: support measures to protect the coast, the coastal edge and coastal habitats; and facilitate an Integrated Coastal Zone Management approach to ensure the conservation, management and projection of man-made and natural resources of the coastal zone.</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t xml:space="preserve">       </w:t>
            </w:r>
            <w:r w:rsidR="0039038B" w:rsidRPr="0039038B">
              <w:rPr>
                <w:rFonts w:ascii="Tahoma" w:eastAsia="Calibri" w:hAnsi="Tahoma" w:cs="Tahoma"/>
                <w:b/>
                <w:sz w:val="16"/>
                <w:szCs w:val="16"/>
                <w:lang w:val="en-IE"/>
              </w:rPr>
              <w:t xml:space="preserve">Biodiversity and Ecological Networks </w:t>
            </w:r>
          </w:p>
          <w:p w:rsidR="0039038B" w:rsidRPr="0039038B" w:rsidRDefault="0039038B" w:rsidP="0039038B">
            <w:pPr>
              <w:spacing w:after="0" w:line="240" w:lineRule="auto"/>
              <w:ind w:hanging="360"/>
              <w:contextualSpacing/>
              <w:rPr>
                <w:rFonts w:ascii="Tahoma" w:eastAsia="Calibri" w:hAnsi="Tahoma" w:cs="Tahoma"/>
                <w:b/>
                <w:sz w:val="16"/>
                <w:szCs w:val="16"/>
                <w:lang w:val="en-IE"/>
              </w:rPr>
            </w:pP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Developers shall demonstrate, as appropriate, protection and enhancement of biodiversity and ecological connectivity, including woodlands, trees, hedgerows, semi-natural grasslands, rivers, streams, natural springs, wetlands, geological and geo-morphological systems, other landscape features and associated wildlife where these form part of the ecological network and/or may be considered as ecological corridors or stepping stones in the context of Article 10 of the Habitats Directive.</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t xml:space="preserve">       </w:t>
            </w:r>
            <w:r w:rsidR="0039038B" w:rsidRPr="0039038B">
              <w:rPr>
                <w:rFonts w:ascii="Tahoma" w:eastAsia="Calibri" w:hAnsi="Tahoma" w:cs="Tahoma"/>
                <w:b/>
                <w:sz w:val="16"/>
                <w:szCs w:val="16"/>
                <w:lang w:val="en-IE"/>
              </w:rPr>
              <w:t>Protection of Riparian Zone and Waterbodies and Watercourses</w:t>
            </w: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Developers shall demonstrate that waterbodies and watercourses are protected from inappropriate development, including rivers, streams, associated undeveloped riparian strips, wetlands and natural floodplains. This will include protection buffers in riverine, wetland and coastal areas, as appropriate.</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t xml:space="preserve">        </w:t>
            </w:r>
            <w:r w:rsidR="0039038B" w:rsidRPr="0039038B">
              <w:rPr>
                <w:rFonts w:ascii="Tahoma" w:eastAsia="Calibri" w:hAnsi="Tahoma" w:cs="Tahoma"/>
                <w:b/>
                <w:sz w:val="16"/>
                <w:szCs w:val="16"/>
                <w:lang w:val="en-IE"/>
              </w:rPr>
              <w:t>Non-Designated Sites</w:t>
            </w:r>
            <w:r w:rsidR="0039038B" w:rsidRPr="0039038B">
              <w:rPr>
                <w:rFonts w:ascii="Tahoma" w:eastAsia="Calibri" w:hAnsi="Tahoma" w:cs="Tahoma"/>
                <w:b/>
                <w:sz w:val="16"/>
                <w:szCs w:val="16"/>
                <w:lang w:val="en-IE"/>
              </w:rPr>
              <w:tab/>
            </w: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Developers shall demonstrate the appropriate protection of non-designated habitats and landscapes and to conserve the biological diversity.</w:t>
            </w:r>
          </w:p>
        </w:tc>
      </w:tr>
      <w:tr w:rsidR="0039038B" w:rsidRPr="0039038B" w:rsidTr="00AA396F">
        <w:tc>
          <w:tcPr>
            <w:tcW w:w="1277" w:type="dxa"/>
            <w:shd w:val="clear" w:color="auto" w:fill="auto"/>
          </w:tcPr>
          <w:p w:rsidR="0039038B" w:rsidRPr="0039038B" w:rsidRDefault="00AA396F" w:rsidP="0039038B">
            <w:pPr>
              <w:spacing w:after="0" w:line="240" w:lineRule="auto"/>
              <w:ind w:hanging="360"/>
              <w:contextualSpacing/>
              <w:rPr>
                <w:rFonts w:ascii="Tahoma" w:eastAsia="Calibri" w:hAnsi="Tahoma" w:cs="Tahoma"/>
                <w:b/>
                <w:sz w:val="16"/>
                <w:szCs w:val="16"/>
                <w:lang w:val="en-IE"/>
              </w:rPr>
            </w:pPr>
            <w:r>
              <w:rPr>
                <w:rFonts w:ascii="Tahoma" w:eastAsia="Calibri" w:hAnsi="Tahoma" w:cs="Tahoma"/>
                <w:b/>
                <w:sz w:val="16"/>
                <w:szCs w:val="16"/>
                <w:lang w:val="en-IE"/>
              </w:rPr>
              <w:t xml:space="preserve">        </w:t>
            </w:r>
            <w:r w:rsidR="0039038B" w:rsidRPr="0039038B">
              <w:rPr>
                <w:rFonts w:ascii="Tahoma" w:eastAsia="Calibri" w:hAnsi="Tahoma" w:cs="Tahoma"/>
                <w:b/>
                <w:sz w:val="16"/>
                <w:szCs w:val="16"/>
                <w:lang w:val="en-IE"/>
              </w:rPr>
              <w:t>Non-native invasive species</w:t>
            </w:r>
          </w:p>
        </w:tc>
        <w:tc>
          <w:tcPr>
            <w:tcW w:w="7966" w:type="dxa"/>
            <w:shd w:val="clear" w:color="auto" w:fill="auto"/>
          </w:tcPr>
          <w:p w:rsidR="0039038B" w:rsidRPr="0039038B" w:rsidRDefault="0039038B" w:rsidP="0039038B">
            <w:pPr>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Developers shall support, as appropriate, the National Parks and Wildlife Service’s efforts to seek to control the spread of non-native invasive species on land and water.</w:t>
            </w:r>
          </w:p>
        </w:tc>
      </w:tr>
    </w:tbl>
    <w:p w:rsidR="0039038B" w:rsidRPr="0039038B" w:rsidRDefault="0039038B" w:rsidP="0039038B">
      <w:pPr>
        <w:tabs>
          <w:tab w:val="left" w:pos="5704"/>
        </w:tabs>
        <w:spacing w:after="0" w:line="240" w:lineRule="auto"/>
        <w:jc w:val="both"/>
        <w:rPr>
          <w:rFonts w:ascii="Tahoma" w:eastAsia="Times New Roman" w:hAnsi="Tahoma" w:cs="Times New Roman"/>
          <w:b/>
          <w:sz w:val="20"/>
          <w:szCs w:val="24"/>
          <w:lang w:val="en-IE"/>
        </w:rPr>
      </w:pPr>
    </w:p>
    <w:p w:rsidR="0039038B" w:rsidRPr="0039038B" w:rsidRDefault="0039038B" w:rsidP="0039038B">
      <w:pPr>
        <w:tabs>
          <w:tab w:val="left" w:pos="5704"/>
        </w:tabs>
        <w:spacing w:after="0" w:line="240" w:lineRule="auto"/>
        <w:jc w:val="both"/>
        <w:rPr>
          <w:rFonts w:ascii="Tahoma" w:eastAsia="Times New Roman" w:hAnsi="Tahoma" w:cs="Times New Roman"/>
          <w:sz w:val="20"/>
          <w:szCs w:val="24"/>
          <w:lang w:val="en-IE"/>
        </w:rPr>
      </w:pPr>
      <w:r w:rsidRPr="0039038B">
        <w:rPr>
          <w:rFonts w:ascii="Tahoma" w:eastAsia="Times New Roman" w:hAnsi="Tahoma" w:cs="Times New Roman"/>
          <w:sz w:val="20"/>
          <w:szCs w:val="24"/>
          <w:lang w:val="en-IE"/>
        </w:rPr>
        <w:t>In addition to requiring compliance with the Overarching Ecological Measures, the developers will also be required to comply with the Specific Ecological Control Measures detailed on Table 2 below.</w:t>
      </w:r>
    </w:p>
    <w:p w:rsidR="0039038B" w:rsidRDefault="0039038B" w:rsidP="0039038B">
      <w:pPr>
        <w:tabs>
          <w:tab w:val="left" w:pos="5704"/>
        </w:tabs>
        <w:spacing w:after="0" w:line="240" w:lineRule="auto"/>
        <w:jc w:val="both"/>
        <w:rPr>
          <w:rFonts w:ascii="Tahoma" w:eastAsia="Times New Roman" w:hAnsi="Tahoma" w:cs="Times New Roman"/>
          <w:b/>
          <w:sz w:val="20"/>
          <w:szCs w:val="24"/>
          <w:lang w:val="en-IE"/>
        </w:rPr>
      </w:pPr>
    </w:p>
    <w:p w:rsidR="00B9010B" w:rsidRDefault="00B9010B" w:rsidP="0039038B">
      <w:pPr>
        <w:tabs>
          <w:tab w:val="left" w:pos="5704"/>
        </w:tabs>
        <w:spacing w:after="0" w:line="240" w:lineRule="auto"/>
        <w:jc w:val="both"/>
        <w:rPr>
          <w:rFonts w:ascii="Tahoma" w:eastAsia="Times New Roman" w:hAnsi="Tahoma" w:cs="Times New Roman"/>
          <w:b/>
          <w:sz w:val="20"/>
          <w:szCs w:val="24"/>
          <w:lang w:val="en-IE"/>
        </w:rPr>
      </w:pPr>
    </w:p>
    <w:p w:rsidR="00B9010B" w:rsidRPr="0039038B" w:rsidRDefault="00B9010B" w:rsidP="0039038B">
      <w:pPr>
        <w:tabs>
          <w:tab w:val="left" w:pos="5704"/>
        </w:tabs>
        <w:spacing w:after="0" w:line="240" w:lineRule="auto"/>
        <w:jc w:val="both"/>
        <w:rPr>
          <w:rFonts w:ascii="Tahoma" w:eastAsia="Times New Roman" w:hAnsi="Tahoma" w:cs="Times New Roman"/>
          <w:b/>
          <w:sz w:val="20"/>
          <w:szCs w:val="24"/>
          <w:lang w:val="en-IE"/>
        </w:rPr>
      </w:pPr>
    </w:p>
    <w:p w:rsidR="0039038B" w:rsidRPr="0039038B" w:rsidRDefault="0039038B" w:rsidP="0039038B">
      <w:pPr>
        <w:spacing w:after="120" w:line="240" w:lineRule="auto"/>
        <w:jc w:val="both"/>
        <w:rPr>
          <w:rFonts w:ascii="Tahoma" w:eastAsia="Times New Roman" w:hAnsi="Tahoma" w:cs="Times New Roman"/>
          <w:b/>
          <w:bCs/>
          <w:sz w:val="20"/>
          <w:szCs w:val="20"/>
          <w:lang w:val="en-IE"/>
        </w:rPr>
      </w:pPr>
      <w:bookmarkStart w:id="3" w:name="_Ref441140580"/>
      <w:bookmarkStart w:id="4" w:name="_Toc441487603"/>
      <w:r w:rsidRPr="0039038B">
        <w:rPr>
          <w:rFonts w:ascii="Tahoma" w:eastAsia="Times New Roman" w:hAnsi="Tahoma" w:cs="Times New Roman"/>
          <w:b/>
          <w:bCs/>
          <w:sz w:val="20"/>
          <w:szCs w:val="20"/>
          <w:lang w:val="en-IE"/>
        </w:rPr>
        <w:lastRenderedPageBreak/>
        <w:t xml:space="preserve">Table </w:t>
      </w:r>
      <w:r w:rsidRPr="0039038B">
        <w:rPr>
          <w:rFonts w:ascii="Tahoma" w:eastAsia="Times New Roman" w:hAnsi="Tahoma" w:cs="Times New Roman"/>
          <w:b/>
          <w:bCs/>
          <w:sz w:val="20"/>
          <w:szCs w:val="20"/>
          <w:lang w:val="en-IE"/>
        </w:rPr>
        <w:fldChar w:fldCharType="begin"/>
      </w:r>
      <w:r w:rsidRPr="0039038B">
        <w:rPr>
          <w:rFonts w:ascii="Tahoma" w:eastAsia="Times New Roman" w:hAnsi="Tahoma" w:cs="Times New Roman"/>
          <w:b/>
          <w:bCs/>
          <w:sz w:val="20"/>
          <w:szCs w:val="20"/>
          <w:lang w:val="en-IE"/>
        </w:rPr>
        <w:instrText xml:space="preserve"> SEQ Table \* ARABIC \s 1 </w:instrText>
      </w:r>
      <w:r w:rsidRPr="0039038B">
        <w:rPr>
          <w:rFonts w:ascii="Tahoma" w:eastAsia="Times New Roman" w:hAnsi="Tahoma" w:cs="Times New Roman"/>
          <w:b/>
          <w:bCs/>
          <w:sz w:val="20"/>
          <w:szCs w:val="20"/>
          <w:lang w:val="en-IE"/>
        </w:rPr>
        <w:fldChar w:fldCharType="separate"/>
      </w:r>
      <w:r w:rsidR="00AA396F">
        <w:rPr>
          <w:rFonts w:ascii="Tahoma" w:eastAsia="Times New Roman" w:hAnsi="Tahoma" w:cs="Times New Roman"/>
          <w:b/>
          <w:bCs/>
          <w:noProof/>
          <w:sz w:val="20"/>
          <w:szCs w:val="20"/>
          <w:lang w:val="en-IE"/>
        </w:rPr>
        <w:t>2</w:t>
      </w:r>
      <w:r w:rsidRPr="0039038B">
        <w:rPr>
          <w:rFonts w:ascii="Tahoma" w:eastAsia="Times New Roman" w:hAnsi="Tahoma" w:cs="Times New Roman"/>
          <w:b/>
          <w:bCs/>
          <w:noProof/>
          <w:sz w:val="20"/>
          <w:szCs w:val="20"/>
          <w:lang w:val="en-IE"/>
        </w:rPr>
        <w:fldChar w:fldCharType="end"/>
      </w:r>
      <w:bookmarkEnd w:id="3"/>
      <w:r w:rsidRPr="0039038B">
        <w:rPr>
          <w:rFonts w:ascii="Tahoma" w:eastAsia="Times New Roman" w:hAnsi="Tahoma" w:cs="Times New Roman"/>
          <w:b/>
          <w:bCs/>
          <w:sz w:val="20"/>
          <w:szCs w:val="20"/>
          <w:lang w:val="en-IE"/>
        </w:rPr>
        <w:t xml:space="preserve"> Specific Ecological Control Measures from the Signage Plan</w:t>
      </w:r>
      <w:bookmarkEnd w:id="4"/>
    </w:p>
    <w:p w:rsidR="0039038B" w:rsidRPr="0039038B" w:rsidRDefault="0039038B" w:rsidP="0039038B">
      <w:pPr>
        <w:tabs>
          <w:tab w:val="left" w:pos="5704"/>
        </w:tabs>
        <w:spacing w:after="0" w:line="240" w:lineRule="auto"/>
        <w:jc w:val="both"/>
        <w:rPr>
          <w:rFonts w:ascii="Tahoma" w:eastAsia="Times New Roman" w:hAnsi="Tahoma" w:cs="Times New Roman"/>
          <w:b/>
          <w:bCs/>
          <w:sz w:val="20"/>
          <w:szCs w:val="24"/>
          <w:lang w:val="en-I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113"/>
      </w:tblGrid>
      <w:tr w:rsidR="0039038B" w:rsidRPr="0039038B" w:rsidTr="005877E3">
        <w:trPr>
          <w:trHeight w:val="617"/>
        </w:trPr>
        <w:tc>
          <w:tcPr>
            <w:tcW w:w="959" w:type="dxa"/>
          </w:tcPr>
          <w:p w:rsidR="0039038B" w:rsidRPr="0039038B" w:rsidRDefault="0039038B" w:rsidP="0039038B">
            <w:pPr>
              <w:tabs>
                <w:tab w:val="left" w:pos="5704"/>
              </w:tabs>
              <w:spacing w:after="0" w:line="240" w:lineRule="auto"/>
              <w:jc w:val="both"/>
              <w:rPr>
                <w:rFonts w:ascii="Tahoma" w:eastAsia="Times New Roman" w:hAnsi="Tahoma" w:cs="Tahoma"/>
                <w:b/>
                <w:bCs/>
                <w:sz w:val="16"/>
                <w:szCs w:val="16"/>
                <w:lang w:val="en-IE"/>
              </w:rPr>
            </w:pPr>
            <w:r w:rsidRPr="0039038B">
              <w:rPr>
                <w:rFonts w:ascii="Tahoma" w:eastAsia="Times New Roman" w:hAnsi="Tahoma" w:cs="Tahoma"/>
                <w:b/>
                <w:bCs/>
                <w:sz w:val="16"/>
                <w:szCs w:val="16"/>
                <w:lang w:val="en-IE"/>
              </w:rPr>
              <w:t>No.</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b/>
                <w:sz w:val="16"/>
                <w:szCs w:val="16"/>
                <w:lang w:val="en-IE"/>
              </w:rPr>
            </w:pPr>
            <w:r w:rsidRPr="0039038B">
              <w:rPr>
                <w:rFonts w:ascii="Tahoma" w:eastAsia="Times New Roman" w:hAnsi="Tahoma" w:cs="Tahoma"/>
                <w:b/>
                <w:sz w:val="16"/>
                <w:szCs w:val="16"/>
                <w:lang w:val="en-IE"/>
              </w:rPr>
              <w:t>Specific Ecological Control Measure to be applied where relevant</w:t>
            </w:r>
          </w:p>
        </w:tc>
      </w:tr>
      <w:tr w:rsidR="0039038B" w:rsidRPr="0039038B" w:rsidTr="005877E3">
        <w:trPr>
          <w:trHeight w:val="617"/>
        </w:trPr>
        <w:tc>
          <w:tcPr>
            <w:tcW w:w="959" w:type="dxa"/>
          </w:tcPr>
          <w:p w:rsidR="0039038B" w:rsidRPr="0039038B" w:rsidRDefault="0039038B" w:rsidP="0039038B">
            <w:pPr>
              <w:tabs>
                <w:tab w:val="left" w:pos="5704"/>
              </w:tabs>
              <w:spacing w:after="0" w:line="240" w:lineRule="auto"/>
              <w:jc w:val="both"/>
              <w:rPr>
                <w:rFonts w:ascii="Tahoma" w:eastAsia="Times New Roman" w:hAnsi="Tahoma" w:cs="Tahoma"/>
                <w:b/>
                <w:sz w:val="16"/>
                <w:szCs w:val="16"/>
                <w:lang w:val="en-IE"/>
              </w:rPr>
            </w:pPr>
            <w:r w:rsidRPr="0039038B">
              <w:rPr>
                <w:rFonts w:ascii="Tahoma" w:eastAsia="Times New Roman" w:hAnsi="Tahoma" w:cs="Tahoma"/>
                <w:b/>
                <w:sz w:val="16"/>
                <w:szCs w:val="16"/>
                <w:lang w:val="en-IE"/>
              </w:rPr>
              <w:t>ECM1</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 xml:space="preserve">All waste material shall be segregated and removed to prevent contamination, stored appropriately and covered where required. Removal of waste materials from site shall be undertaken by an approved contractor for treatment/disposal. </w:t>
            </w:r>
          </w:p>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p>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Hazardous waste material shall be stored separately from other inert waste materials and kept covered in an appropriate area/container(s) to ensure that the material does not inadvertently enter any existing surface water drainage network materials. The hazardous waste materials shall be removed from site by an approved contractor for treatment at a licenced facility.</w:t>
            </w:r>
          </w:p>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p>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 xml:space="preserve">Particular care shall be taken in the removal of stockpiles of material such as gravel and chippings. (Such stockpiles are frequently sources of non-native invasive plants, such as Japanese knotweed). Disposal of contaminated material may require transport to an approved, licensed facility. </w:t>
            </w:r>
          </w:p>
        </w:tc>
      </w:tr>
      <w:tr w:rsidR="0039038B" w:rsidRPr="0039038B" w:rsidTr="005877E3">
        <w:trPr>
          <w:trHeight w:val="495"/>
        </w:trPr>
        <w:tc>
          <w:tcPr>
            <w:tcW w:w="959" w:type="dxa"/>
          </w:tcPr>
          <w:p w:rsidR="0039038B" w:rsidRPr="0039038B" w:rsidRDefault="0039038B" w:rsidP="0039038B">
            <w:pPr>
              <w:tabs>
                <w:tab w:val="left" w:pos="5704"/>
              </w:tabs>
              <w:spacing w:after="0" w:line="240" w:lineRule="auto"/>
              <w:jc w:val="both"/>
              <w:rPr>
                <w:rFonts w:ascii="Tahoma" w:eastAsia="Times New Roman" w:hAnsi="Tahoma" w:cs="Tahoma"/>
                <w:b/>
                <w:sz w:val="16"/>
                <w:szCs w:val="16"/>
                <w:lang w:val="en-IE"/>
              </w:rPr>
            </w:pPr>
            <w:r w:rsidRPr="0039038B">
              <w:rPr>
                <w:rFonts w:ascii="Tahoma" w:eastAsia="Times New Roman" w:hAnsi="Tahoma" w:cs="Tahoma"/>
                <w:b/>
                <w:sz w:val="16"/>
                <w:szCs w:val="16"/>
                <w:lang w:val="en-IE"/>
              </w:rPr>
              <w:t>ECM2</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 xml:space="preserve">Prior to removal, all vegetation shall be free of non-native invasive species, such as Japanese knotweed. Should any such species be encountered, the area shall be treated as directed by expert advice on the management of invasive species. </w:t>
            </w:r>
          </w:p>
        </w:tc>
      </w:tr>
      <w:tr w:rsidR="0039038B" w:rsidRPr="0039038B" w:rsidTr="005877E3">
        <w:trPr>
          <w:trHeight w:val="374"/>
        </w:trPr>
        <w:tc>
          <w:tcPr>
            <w:tcW w:w="959" w:type="dxa"/>
          </w:tcPr>
          <w:p w:rsidR="0039038B" w:rsidRPr="0039038B" w:rsidRDefault="0039038B" w:rsidP="0039038B">
            <w:pPr>
              <w:tabs>
                <w:tab w:val="left" w:pos="5704"/>
              </w:tabs>
              <w:spacing w:after="0" w:line="240" w:lineRule="auto"/>
              <w:jc w:val="both"/>
              <w:rPr>
                <w:rFonts w:ascii="Tahoma" w:eastAsia="Times New Roman" w:hAnsi="Tahoma" w:cs="Tahoma"/>
                <w:b/>
                <w:sz w:val="16"/>
                <w:szCs w:val="16"/>
                <w:lang w:val="en-IE"/>
              </w:rPr>
            </w:pPr>
            <w:r w:rsidRPr="0039038B">
              <w:rPr>
                <w:rFonts w:ascii="Tahoma" w:eastAsia="Times New Roman" w:hAnsi="Tahoma" w:cs="Tahoma"/>
                <w:b/>
                <w:sz w:val="16"/>
                <w:szCs w:val="16"/>
                <w:lang w:val="en-IE"/>
              </w:rPr>
              <w:t>ECM3</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 xml:space="preserve">Works involving the removal or clearing of vegetation that would have any impacts on nesting birds shall be undertaken outside the bird nesting season (i.e. outside the period 1st March to 31st August). </w:t>
            </w:r>
          </w:p>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 xml:space="preserve">In addition, the possible presence of roosting bats shall be considered prior to the undertaking any works that may disturb the roosts. </w:t>
            </w:r>
          </w:p>
        </w:tc>
      </w:tr>
      <w:tr w:rsidR="0039038B" w:rsidRPr="0039038B" w:rsidTr="005877E3">
        <w:trPr>
          <w:trHeight w:val="99"/>
        </w:trPr>
        <w:tc>
          <w:tcPr>
            <w:tcW w:w="959" w:type="dxa"/>
          </w:tcPr>
          <w:p w:rsidR="0039038B" w:rsidRPr="0039038B" w:rsidRDefault="0039038B" w:rsidP="0039038B">
            <w:pPr>
              <w:tabs>
                <w:tab w:val="left" w:pos="5704"/>
              </w:tabs>
              <w:spacing w:after="0" w:line="240" w:lineRule="auto"/>
              <w:jc w:val="both"/>
              <w:rPr>
                <w:rFonts w:ascii="Tahoma" w:eastAsia="Times New Roman" w:hAnsi="Tahoma" w:cs="Tahoma"/>
                <w:b/>
                <w:sz w:val="16"/>
                <w:szCs w:val="16"/>
                <w:lang w:val="en-IE"/>
              </w:rPr>
            </w:pPr>
            <w:r w:rsidRPr="0039038B">
              <w:rPr>
                <w:rFonts w:ascii="Tahoma" w:eastAsia="Times New Roman" w:hAnsi="Tahoma" w:cs="Tahoma"/>
                <w:b/>
                <w:sz w:val="16"/>
                <w:szCs w:val="16"/>
                <w:lang w:val="en-IE"/>
              </w:rPr>
              <w:t>ECM4</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sidDel="00483E69">
              <w:rPr>
                <w:rFonts w:ascii="Tahoma" w:eastAsia="Times New Roman" w:hAnsi="Tahoma" w:cs="Tahoma"/>
                <w:sz w:val="16"/>
                <w:szCs w:val="16"/>
                <w:lang w:val="en-IE"/>
              </w:rPr>
              <w:t>Should they be required</w:t>
            </w:r>
            <w:r w:rsidRPr="0039038B">
              <w:rPr>
                <w:rFonts w:ascii="Tahoma" w:eastAsia="Times New Roman" w:hAnsi="Tahoma" w:cs="Tahoma"/>
                <w:sz w:val="16"/>
                <w:szCs w:val="16"/>
                <w:lang w:val="en-IE"/>
              </w:rPr>
              <w:t xml:space="preserve">, </w:t>
            </w:r>
            <w:r w:rsidRPr="0039038B" w:rsidDel="00483E69">
              <w:rPr>
                <w:rFonts w:ascii="Tahoma" w:eastAsia="Times New Roman" w:hAnsi="Tahoma" w:cs="Tahoma"/>
                <w:sz w:val="16"/>
                <w:szCs w:val="16"/>
                <w:lang w:val="en-IE"/>
              </w:rPr>
              <w:t>a</w:t>
            </w:r>
            <w:r w:rsidRPr="0039038B">
              <w:rPr>
                <w:rFonts w:ascii="Tahoma" w:eastAsia="Times New Roman" w:hAnsi="Tahoma" w:cs="Tahoma"/>
                <w:sz w:val="16"/>
                <w:szCs w:val="16"/>
                <w:lang w:val="en-IE"/>
              </w:rPr>
              <w:t>ll hazardous substances, such as fuels, oils, cement and concrete products, shall</w:t>
            </w:r>
            <w:r w:rsidRPr="0039038B" w:rsidDel="00483E69">
              <w:rPr>
                <w:rFonts w:ascii="Tahoma" w:eastAsia="Times New Roman" w:hAnsi="Tahoma" w:cs="Tahoma"/>
                <w:sz w:val="16"/>
                <w:szCs w:val="16"/>
                <w:lang w:val="en-IE"/>
              </w:rPr>
              <w:t xml:space="preserve"> </w:t>
            </w:r>
            <w:r w:rsidRPr="0039038B">
              <w:rPr>
                <w:rFonts w:ascii="Tahoma" w:eastAsia="Times New Roman" w:hAnsi="Tahoma" w:cs="Tahoma"/>
                <w:sz w:val="16"/>
                <w:szCs w:val="16"/>
                <w:lang w:val="en-IE"/>
              </w:rPr>
              <w:t>be: stored on-site in a secure, dry and contained area and isolated from drainage connections to any existing surface water drainage network; and used in a manner that ensures that contamination of other materials does not occur and that they do not inadvertently enter any existing surface water drainage network.</w:t>
            </w:r>
          </w:p>
        </w:tc>
      </w:tr>
      <w:tr w:rsidR="0039038B" w:rsidRPr="0039038B" w:rsidTr="005877E3">
        <w:trPr>
          <w:trHeight w:val="222"/>
        </w:trPr>
        <w:tc>
          <w:tcPr>
            <w:tcW w:w="959" w:type="dxa"/>
          </w:tcPr>
          <w:p w:rsidR="0039038B" w:rsidRPr="0039038B" w:rsidRDefault="0039038B" w:rsidP="0039038B">
            <w:pPr>
              <w:spacing w:after="0" w:line="240" w:lineRule="auto"/>
              <w:jc w:val="both"/>
              <w:rPr>
                <w:rFonts w:ascii="Tahoma" w:eastAsia="Times New Roman" w:hAnsi="Tahoma" w:cs="Times New Roman"/>
                <w:sz w:val="20"/>
                <w:szCs w:val="24"/>
                <w:lang w:val="en-IE"/>
              </w:rPr>
            </w:pPr>
            <w:r w:rsidRPr="0039038B">
              <w:rPr>
                <w:rFonts w:ascii="Tahoma" w:eastAsia="Times New Roman" w:hAnsi="Tahoma" w:cs="Tahoma"/>
                <w:b/>
                <w:sz w:val="16"/>
                <w:szCs w:val="16"/>
                <w:lang w:val="en-IE"/>
              </w:rPr>
              <w:t>ECM5</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sidDel="00483E69">
              <w:rPr>
                <w:rFonts w:ascii="Tahoma" w:eastAsia="Times New Roman" w:hAnsi="Tahoma" w:cs="Tahoma"/>
                <w:sz w:val="16"/>
                <w:szCs w:val="16"/>
                <w:lang w:val="en-IE"/>
              </w:rPr>
              <w:t>Where possible, m</w:t>
            </w:r>
            <w:r w:rsidRPr="0039038B">
              <w:rPr>
                <w:rFonts w:ascii="Tahoma" w:eastAsia="Times New Roman" w:hAnsi="Tahoma" w:cs="Tahoma"/>
                <w:sz w:val="16"/>
                <w:szCs w:val="16"/>
                <w:lang w:val="en-IE"/>
              </w:rPr>
              <w:t>achinery shall only operate from existing parking or built surfaces, and shall not enter any sensitive or designated ecological habitat.</w:t>
            </w:r>
          </w:p>
        </w:tc>
      </w:tr>
      <w:tr w:rsidR="0039038B" w:rsidRPr="0039038B" w:rsidTr="005877E3">
        <w:trPr>
          <w:trHeight w:val="99"/>
        </w:trPr>
        <w:tc>
          <w:tcPr>
            <w:tcW w:w="959" w:type="dxa"/>
          </w:tcPr>
          <w:p w:rsidR="0039038B" w:rsidRPr="0039038B" w:rsidRDefault="0039038B" w:rsidP="0039038B">
            <w:pPr>
              <w:spacing w:after="0" w:line="240" w:lineRule="auto"/>
              <w:jc w:val="both"/>
              <w:rPr>
                <w:rFonts w:ascii="Tahoma" w:eastAsia="Times New Roman" w:hAnsi="Tahoma" w:cs="Times New Roman"/>
                <w:sz w:val="20"/>
                <w:szCs w:val="24"/>
                <w:lang w:val="en-IE"/>
              </w:rPr>
            </w:pPr>
            <w:r w:rsidRPr="0039038B">
              <w:rPr>
                <w:rFonts w:ascii="Tahoma" w:eastAsia="Times New Roman" w:hAnsi="Tahoma" w:cs="Tahoma"/>
                <w:b/>
                <w:sz w:val="16"/>
                <w:szCs w:val="16"/>
                <w:lang w:val="en-IE"/>
              </w:rPr>
              <w:t>ECM6</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All resurfacing and other minor construction or demolition works (including removal and consolidation of existing features, such as signage, litter bins, picnic tables) should be undertaken in a manner that ensures that no materials can inadvertently enter any watercourse or sensitive ecological habitat, and in a manner that ensures there are no impacts on fauna such as birds and bats.</w:t>
            </w:r>
          </w:p>
        </w:tc>
      </w:tr>
      <w:tr w:rsidR="0039038B" w:rsidRPr="0039038B" w:rsidTr="005877E3">
        <w:trPr>
          <w:trHeight w:val="344"/>
        </w:trPr>
        <w:tc>
          <w:tcPr>
            <w:tcW w:w="959" w:type="dxa"/>
          </w:tcPr>
          <w:p w:rsidR="0039038B" w:rsidRPr="0039038B" w:rsidRDefault="0039038B" w:rsidP="0039038B">
            <w:pPr>
              <w:spacing w:after="0" w:line="240" w:lineRule="auto"/>
              <w:jc w:val="both"/>
              <w:rPr>
                <w:rFonts w:ascii="Tahoma" w:eastAsia="Times New Roman" w:hAnsi="Tahoma" w:cs="Times New Roman"/>
                <w:sz w:val="20"/>
                <w:szCs w:val="24"/>
                <w:lang w:val="en-IE"/>
              </w:rPr>
            </w:pPr>
            <w:r w:rsidRPr="0039038B">
              <w:rPr>
                <w:rFonts w:ascii="Tahoma" w:eastAsia="Times New Roman" w:hAnsi="Tahoma" w:cs="Tahoma"/>
                <w:b/>
                <w:sz w:val="16"/>
                <w:szCs w:val="16"/>
                <w:lang w:val="en-IE"/>
              </w:rPr>
              <w:t>ECM7</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 xml:space="preserve">Prior to use, resurfacing materials, including </w:t>
            </w:r>
            <w:proofErr w:type="spellStart"/>
            <w:r w:rsidRPr="0039038B">
              <w:rPr>
                <w:rFonts w:ascii="Tahoma" w:eastAsia="Times New Roman" w:hAnsi="Tahoma" w:cs="Tahoma"/>
                <w:sz w:val="16"/>
                <w:szCs w:val="16"/>
                <w:lang w:val="en-IE"/>
              </w:rPr>
              <w:t>hardcore</w:t>
            </w:r>
            <w:proofErr w:type="spellEnd"/>
            <w:r w:rsidRPr="0039038B">
              <w:rPr>
                <w:rFonts w:ascii="Tahoma" w:eastAsia="Times New Roman" w:hAnsi="Tahoma" w:cs="Tahoma"/>
                <w:sz w:val="16"/>
                <w:szCs w:val="16"/>
                <w:lang w:val="en-IE"/>
              </w:rPr>
              <w:t xml:space="preserve"> and sub-surface fill material will be stored in a manner that ensures that they do not inadvertently enter any existing surface water drainage network, or any sensitive ecological habitat.</w:t>
            </w:r>
          </w:p>
        </w:tc>
      </w:tr>
      <w:tr w:rsidR="0039038B" w:rsidRPr="0039038B" w:rsidTr="005877E3">
        <w:trPr>
          <w:trHeight w:val="295"/>
        </w:trPr>
        <w:tc>
          <w:tcPr>
            <w:tcW w:w="959" w:type="dxa"/>
          </w:tcPr>
          <w:p w:rsidR="0039038B" w:rsidRPr="0039038B" w:rsidRDefault="0039038B" w:rsidP="0039038B">
            <w:pPr>
              <w:spacing w:after="0" w:line="240" w:lineRule="auto"/>
              <w:jc w:val="both"/>
              <w:rPr>
                <w:rFonts w:ascii="Tahoma" w:eastAsia="Times New Roman" w:hAnsi="Tahoma" w:cs="Times New Roman"/>
                <w:sz w:val="20"/>
                <w:szCs w:val="24"/>
                <w:lang w:val="en-IE"/>
              </w:rPr>
            </w:pPr>
            <w:r w:rsidRPr="0039038B">
              <w:rPr>
                <w:rFonts w:ascii="Tahoma" w:eastAsia="Times New Roman" w:hAnsi="Tahoma" w:cs="Tahoma"/>
                <w:b/>
                <w:sz w:val="16"/>
                <w:szCs w:val="16"/>
                <w:lang w:val="en-IE"/>
              </w:rPr>
              <w:t>ECM8</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sidDel="00483E69">
              <w:rPr>
                <w:rFonts w:ascii="Tahoma" w:eastAsia="Times New Roman" w:hAnsi="Tahoma" w:cs="Tahoma"/>
                <w:sz w:val="16"/>
                <w:szCs w:val="16"/>
                <w:lang w:val="en-IE"/>
              </w:rPr>
              <w:t xml:space="preserve">Removal and consolidation of existing signage </w:t>
            </w:r>
            <w:r w:rsidRPr="0039038B">
              <w:rPr>
                <w:rFonts w:ascii="Tahoma" w:eastAsia="Times New Roman" w:hAnsi="Tahoma" w:cs="Tahoma"/>
                <w:sz w:val="16"/>
                <w:szCs w:val="16"/>
                <w:lang w:val="en-IE"/>
              </w:rPr>
              <w:t>shall</w:t>
            </w:r>
            <w:r w:rsidRPr="0039038B" w:rsidDel="00483E69">
              <w:rPr>
                <w:rFonts w:ascii="Tahoma" w:eastAsia="Times New Roman" w:hAnsi="Tahoma" w:cs="Tahoma"/>
                <w:sz w:val="16"/>
                <w:szCs w:val="16"/>
                <w:lang w:val="en-IE"/>
              </w:rPr>
              <w:t xml:space="preserve"> be undertaken in a manner that ensures that there are no impacts on any watercourse or sensitive ecological habitat.</w:t>
            </w:r>
          </w:p>
        </w:tc>
      </w:tr>
      <w:tr w:rsidR="0039038B" w:rsidRPr="0039038B" w:rsidTr="005877E3">
        <w:trPr>
          <w:trHeight w:val="58"/>
        </w:trPr>
        <w:tc>
          <w:tcPr>
            <w:tcW w:w="959" w:type="dxa"/>
          </w:tcPr>
          <w:p w:rsidR="0039038B" w:rsidRPr="0039038B" w:rsidRDefault="0039038B" w:rsidP="0039038B">
            <w:pPr>
              <w:spacing w:after="0" w:line="240" w:lineRule="auto"/>
              <w:jc w:val="both"/>
              <w:rPr>
                <w:rFonts w:ascii="Tahoma" w:eastAsia="Times New Roman" w:hAnsi="Tahoma" w:cs="Times New Roman"/>
                <w:sz w:val="20"/>
                <w:szCs w:val="24"/>
                <w:lang w:val="en-IE"/>
              </w:rPr>
            </w:pPr>
            <w:r w:rsidRPr="0039038B">
              <w:rPr>
                <w:rFonts w:ascii="Tahoma" w:eastAsia="Times New Roman" w:hAnsi="Tahoma" w:cs="Tahoma"/>
                <w:b/>
                <w:sz w:val="16"/>
                <w:szCs w:val="16"/>
                <w:lang w:val="en-IE"/>
              </w:rPr>
              <w:t>ECM9</w:t>
            </w:r>
          </w:p>
        </w:tc>
        <w:tc>
          <w:tcPr>
            <w:tcW w:w="8113" w:type="dxa"/>
          </w:tcPr>
          <w:p w:rsidR="0039038B" w:rsidRPr="0039038B" w:rsidRDefault="0039038B" w:rsidP="0039038B">
            <w:pPr>
              <w:tabs>
                <w:tab w:val="left" w:pos="5704"/>
              </w:tabs>
              <w:spacing w:after="0" w:line="240" w:lineRule="auto"/>
              <w:jc w:val="both"/>
              <w:rPr>
                <w:rFonts w:ascii="Tahoma" w:eastAsia="Times New Roman" w:hAnsi="Tahoma" w:cs="Tahoma"/>
                <w:sz w:val="16"/>
                <w:szCs w:val="16"/>
                <w:lang w:val="en-IE"/>
              </w:rPr>
            </w:pPr>
            <w:r w:rsidRPr="0039038B">
              <w:rPr>
                <w:rFonts w:ascii="Tahoma" w:eastAsia="Times New Roman" w:hAnsi="Tahoma" w:cs="Tahoma"/>
                <w:sz w:val="16"/>
                <w:szCs w:val="16"/>
                <w:lang w:val="en-IE"/>
              </w:rPr>
              <w:t>Signage shall be placed within existing hard standing areas where possible and installed in a manner that ensures that there are no impacts on any sensitive or designated ecological habitat.</w:t>
            </w:r>
          </w:p>
        </w:tc>
      </w:tr>
    </w:tbl>
    <w:p w:rsidR="0039038B" w:rsidRPr="0039038B" w:rsidRDefault="0039038B" w:rsidP="0039038B">
      <w:pPr>
        <w:spacing w:after="0" w:line="240" w:lineRule="auto"/>
        <w:jc w:val="both"/>
        <w:rPr>
          <w:rFonts w:ascii="Tahoma" w:eastAsia="Times New Roman" w:hAnsi="Tahoma" w:cs="Times New Roman"/>
          <w:sz w:val="19"/>
          <w:szCs w:val="19"/>
          <w:lang w:val="en-IE"/>
        </w:rPr>
      </w:pPr>
    </w:p>
    <w:p w:rsidR="008A2263" w:rsidRPr="008A2263" w:rsidRDefault="008A2263" w:rsidP="008A2263">
      <w:pPr>
        <w:spacing w:after="0"/>
        <w:jc w:val="both"/>
        <w:rPr>
          <w:rFonts w:ascii="Arial" w:hAnsi="Arial" w:cs="Arial"/>
          <w:sz w:val="20"/>
          <w:szCs w:val="20"/>
          <w:lang w:val="en-US" w:eastAsia="en-GB"/>
        </w:rPr>
      </w:pPr>
    </w:p>
    <w:p w:rsidR="00CD74B9" w:rsidRPr="008A2263" w:rsidRDefault="00CD74B9" w:rsidP="00892F28">
      <w:pPr>
        <w:jc w:val="center"/>
        <w:rPr>
          <w:rFonts w:ascii="Arial" w:hAnsi="Arial" w:cs="Arial"/>
          <w:b/>
          <w:sz w:val="20"/>
          <w:szCs w:val="20"/>
          <w:u w:val="single"/>
        </w:rPr>
      </w:pPr>
      <w:r w:rsidRPr="008A2263">
        <w:rPr>
          <w:rFonts w:ascii="Arial" w:hAnsi="Arial" w:cs="Arial"/>
          <w:b/>
          <w:sz w:val="20"/>
          <w:szCs w:val="20"/>
          <w:u w:val="single"/>
        </w:rPr>
        <w:t>Appendix</w:t>
      </w:r>
      <w:r w:rsidR="005052D6" w:rsidRPr="008A2263">
        <w:rPr>
          <w:rFonts w:ascii="Arial" w:hAnsi="Arial" w:cs="Arial"/>
          <w:b/>
          <w:sz w:val="20"/>
          <w:szCs w:val="20"/>
          <w:u w:val="single"/>
        </w:rPr>
        <w:t xml:space="preserve"> 1</w:t>
      </w:r>
      <w:r w:rsidRPr="008A2263">
        <w:rPr>
          <w:rFonts w:ascii="Arial" w:hAnsi="Arial" w:cs="Arial"/>
          <w:b/>
          <w:sz w:val="20"/>
          <w:szCs w:val="20"/>
          <w:u w:val="single"/>
        </w:rPr>
        <w:t xml:space="preserve"> – List of Sites for</w:t>
      </w:r>
      <w:r w:rsidR="0080335D" w:rsidRPr="008A2263">
        <w:rPr>
          <w:rFonts w:ascii="Arial" w:hAnsi="Arial" w:cs="Arial"/>
          <w:b/>
          <w:sz w:val="20"/>
          <w:szCs w:val="20"/>
          <w:u w:val="single"/>
        </w:rPr>
        <w:t xml:space="preserve"> Branded </w:t>
      </w:r>
      <w:r w:rsidRPr="008A2263">
        <w:rPr>
          <w:rFonts w:ascii="Arial" w:hAnsi="Arial" w:cs="Arial"/>
          <w:b/>
          <w:sz w:val="20"/>
          <w:szCs w:val="20"/>
          <w:u w:val="single"/>
        </w:rPr>
        <w:t>Orientation Signage</w:t>
      </w:r>
      <w:r w:rsidR="0050478C">
        <w:rPr>
          <w:rFonts w:ascii="Arial" w:hAnsi="Arial" w:cs="Arial"/>
          <w:b/>
          <w:sz w:val="20"/>
          <w:szCs w:val="20"/>
          <w:u w:val="single"/>
        </w:rPr>
        <w:t xml:space="preserve"> Phase 1</w:t>
      </w:r>
    </w:p>
    <w:p w:rsidR="00CD74B9" w:rsidRPr="008A2263" w:rsidRDefault="00CD74B9" w:rsidP="008E47CF">
      <w:pPr>
        <w:autoSpaceDE w:val="0"/>
        <w:autoSpaceDN w:val="0"/>
        <w:adjustRightInd w:val="0"/>
        <w:spacing w:after="0" w:line="240" w:lineRule="auto"/>
        <w:rPr>
          <w:rFonts w:ascii="Arial" w:hAnsi="Arial" w:cs="Arial"/>
          <w:sz w:val="20"/>
          <w:szCs w:val="20"/>
        </w:rPr>
      </w:pPr>
    </w:p>
    <w:tbl>
      <w:tblPr>
        <w:tblW w:w="14136" w:type="dxa"/>
        <w:tblInd w:w="93" w:type="dxa"/>
        <w:tblLook w:val="04A0" w:firstRow="1" w:lastRow="0" w:firstColumn="1" w:lastColumn="0" w:noHBand="0" w:noVBand="1"/>
      </w:tblPr>
      <w:tblGrid>
        <w:gridCol w:w="1149"/>
        <w:gridCol w:w="3261"/>
        <w:gridCol w:w="1842"/>
        <w:gridCol w:w="1418"/>
        <w:gridCol w:w="1417"/>
        <w:gridCol w:w="1239"/>
        <w:gridCol w:w="222"/>
        <w:gridCol w:w="222"/>
        <w:gridCol w:w="222"/>
        <w:gridCol w:w="236"/>
        <w:gridCol w:w="728"/>
        <w:gridCol w:w="258"/>
        <w:gridCol w:w="742"/>
        <w:gridCol w:w="438"/>
        <w:gridCol w:w="742"/>
      </w:tblGrid>
      <w:tr w:rsidR="00A97478" w:rsidRPr="008A2263" w:rsidTr="00A97478">
        <w:trPr>
          <w:trHeight w:val="312"/>
        </w:trPr>
        <w:tc>
          <w:tcPr>
            <w:tcW w:w="1149" w:type="dxa"/>
            <w:tcBorders>
              <w:top w:val="nil"/>
              <w:left w:val="nil"/>
              <w:bottom w:val="nil"/>
              <w:right w:val="nil"/>
            </w:tcBorders>
          </w:tcPr>
          <w:p w:rsidR="00A97478" w:rsidRPr="008A2263" w:rsidRDefault="00A97478" w:rsidP="00A97478">
            <w:pPr>
              <w:spacing w:after="0" w:line="240" w:lineRule="auto"/>
              <w:rPr>
                <w:rFonts w:ascii="Arial" w:eastAsia="Times New Roman" w:hAnsi="Arial" w:cs="Arial"/>
                <w:b/>
                <w:bCs/>
                <w:sz w:val="20"/>
                <w:szCs w:val="20"/>
                <w:lang w:val="en-IE" w:eastAsia="en-IE"/>
              </w:rPr>
            </w:pPr>
          </w:p>
        </w:tc>
        <w:tc>
          <w:tcPr>
            <w:tcW w:w="10807" w:type="dxa"/>
            <w:gridSpan w:val="10"/>
            <w:tcBorders>
              <w:top w:val="nil"/>
              <w:left w:val="nil"/>
              <w:bottom w:val="nil"/>
              <w:right w:val="nil"/>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b/>
                <w:bCs/>
                <w:sz w:val="20"/>
                <w:szCs w:val="20"/>
                <w:lang w:val="en-IE" w:eastAsia="en-IE"/>
              </w:rPr>
            </w:pPr>
            <w:bookmarkStart w:id="5" w:name="RANGE!C1:S115"/>
            <w:r w:rsidRPr="008A2263">
              <w:rPr>
                <w:rFonts w:ascii="Arial" w:eastAsia="Times New Roman" w:hAnsi="Arial" w:cs="Arial"/>
                <w:b/>
                <w:bCs/>
                <w:sz w:val="20"/>
                <w:szCs w:val="20"/>
                <w:lang w:val="en-IE" w:eastAsia="en-IE"/>
              </w:rPr>
              <w:t>IRELAND'S ANCIENT EAST ORIENTATON SIGNAGE LISTING</w:t>
            </w:r>
            <w:bookmarkEnd w:id="5"/>
          </w:p>
        </w:tc>
        <w:tc>
          <w:tcPr>
            <w:tcW w:w="1000" w:type="dxa"/>
            <w:gridSpan w:val="2"/>
            <w:tcBorders>
              <w:top w:val="nil"/>
              <w:left w:val="nil"/>
              <w:bottom w:val="nil"/>
              <w:right w:val="nil"/>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tcBorders>
              <w:top w:val="nil"/>
              <w:left w:val="nil"/>
              <w:bottom w:val="nil"/>
              <w:right w:val="nil"/>
            </w:tcBorders>
            <w:shd w:val="clear" w:color="auto" w:fill="auto"/>
            <w:noWrap/>
            <w:vAlign w:val="bottom"/>
          </w:tcPr>
          <w:p w:rsidR="00A97478" w:rsidRPr="008A2263" w:rsidRDefault="00A97478" w:rsidP="00A97478">
            <w:pPr>
              <w:spacing w:after="0" w:line="240" w:lineRule="auto"/>
              <w:jc w:val="right"/>
              <w:rPr>
                <w:rFonts w:ascii="Arial" w:eastAsia="Times New Roman" w:hAnsi="Arial" w:cs="Arial"/>
                <w:sz w:val="20"/>
                <w:szCs w:val="20"/>
                <w:lang w:val="en-IE" w:eastAsia="en-IE"/>
              </w:rPr>
            </w:pPr>
          </w:p>
        </w:tc>
      </w:tr>
      <w:tr w:rsidR="00A97478" w:rsidRPr="008A2263" w:rsidTr="00A97478">
        <w:trPr>
          <w:gridAfter w:val="1"/>
          <w:wAfter w:w="742" w:type="dxa"/>
          <w:trHeight w:val="552"/>
        </w:trPr>
        <w:tc>
          <w:tcPr>
            <w:tcW w:w="1149" w:type="dxa"/>
            <w:tcBorders>
              <w:top w:val="single" w:sz="4" w:space="0" w:color="auto"/>
              <w:left w:val="single" w:sz="4" w:space="0" w:color="auto"/>
              <w:bottom w:val="single" w:sz="4" w:space="0" w:color="auto"/>
              <w:right w:val="single" w:sz="4" w:space="0" w:color="auto"/>
            </w:tcBorders>
          </w:tcPr>
          <w:p w:rsidR="00A97478" w:rsidRPr="008A2263" w:rsidRDefault="00A97478" w:rsidP="00A97478">
            <w:pPr>
              <w:spacing w:after="0" w:line="240" w:lineRule="auto"/>
              <w:rPr>
                <w:rFonts w:ascii="Arial" w:eastAsia="Times New Roman" w:hAnsi="Arial" w:cs="Arial"/>
                <w:b/>
                <w:bCs/>
                <w:sz w:val="20"/>
                <w:szCs w:val="20"/>
                <w:lang w:val="en-IE" w:eastAsia="en-IE"/>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b/>
                <w:bCs/>
                <w:sz w:val="20"/>
                <w:szCs w:val="20"/>
                <w:lang w:val="en-IE" w:eastAsia="en-IE"/>
              </w:rPr>
            </w:pPr>
            <w:r w:rsidRPr="008A2263">
              <w:rPr>
                <w:rFonts w:ascii="Arial" w:eastAsia="Times New Roman" w:hAnsi="Arial" w:cs="Arial"/>
                <w:b/>
                <w:bCs/>
                <w:sz w:val="20"/>
                <w:szCs w:val="20"/>
                <w:lang w:val="en-IE" w:eastAsia="en-IE"/>
              </w:rPr>
              <w:t>Attraction</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b/>
                <w:bCs/>
                <w:sz w:val="20"/>
                <w:szCs w:val="20"/>
                <w:lang w:val="en-IE" w:eastAsia="en-IE"/>
              </w:rPr>
            </w:pPr>
            <w:r w:rsidRPr="008A2263">
              <w:rPr>
                <w:rFonts w:ascii="Arial" w:eastAsia="Times New Roman" w:hAnsi="Arial" w:cs="Arial"/>
                <w:b/>
                <w:bCs/>
                <w:sz w:val="20"/>
                <w:szCs w:val="20"/>
                <w:lang w:val="en-IE" w:eastAsia="en-IE"/>
              </w:rPr>
              <w:t>County</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97478" w:rsidRPr="008A2263" w:rsidRDefault="00BC1F9B" w:rsidP="00AA396F">
            <w:pPr>
              <w:spacing w:after="0" w:line="240" w:lineRule="auto"/>
              <w:jc w:val="center"/>
              <w:rPr>
                <w:rFonts w:ascii="Arial" w:eastAsia="Times New Roman" w:hAnsi="Arial" w:cs="Arial"/>
                <w:b/>
                <w:bCs/>
                <w:sz w:val="20"/>
                <w:szCs w:val="20"/>
                <w:lang w:val="en-IE" w:eastAsia="en-IE"/>
              </w:rPr>
            </w:pPr>
            <w:r>
              <w:rPr>
                <w:rFonts w:ascii="Arial" w:eastAsia="Times New Roman" w:hAnsi="Arial" w:cs="Arial"/>
                <w:b/>
                <w:bCs/>
                <w:sz w:val="20"/>
                <w:szCs w:val="20"/>
                <w:lang w:val="en-IE" w:eastAsia="en-IE"/>
              </w:rPr>
              <w:t xml:space="preserve">Proposed </w:t>
            </w:r>
            <w:r w:rsidR="00A97478" w:rsidRPr="008A2263">
              <w:rPr>
                <w:rFonts w:ascii="Arial" w:eastAsia="Times New Roman" w:hAnsi="Arial" w:cs="Arial"/>
                <w:b/>
                <w:bCs/>
                <w:sz w:val="20"/>
                <w:szCs w:val="20"/>
                <w:lang w:val="en-IE" w:eastAsia="en-IE"/>
              </w:rPr>
              <w:t>Type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b/>
                <w:bCs/>
                <w:sz w:val="20"/>
                <w:szCs w:val="20"/>
                <w:lang w:val="en-IE" w:eastAsia="en-IE"/>
              </w:rPr>
            </w:pPr>
            <w:r w:rsidRPr="008A2263">
              <w:rPr>
                <w:rFonts w:ascii="Arial" w:eastAsia="Times New Roman" w:hAnsi="Arial" w:cs="Arial"/>
                <w:b/>
                <w:bCs/>
                <w:sz w:val="20"/>
                <w:szCs w:val="20"/>
                <w:lang w:val="en-IE" w:eastAsia="en-IE"/>
              </w:rPr>
              <w:t>Developer</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Altamont Gardens</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Carlow</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Large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Duckett's</w:t>
            </w:r>
            <w:proofErr w:type="spellEnd"/>
            <w:r w:rsidRPr="008A2263">
              <w:rPr>
                <w:rFonts w:ascii="Arial" w:eastAsia="Times New Roman" w:hAnsi="Arial" w:cs="Arial"/>
                <w:sz w:val="20"/>
                <w:szCs w:val="20"/>
                <w:lang w:val="en-IE" w:eastAsia="en-IE"/>
              </w:rPr>
              <w:t xml:space="preserve"> Grove Walled Gardens</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Carlow</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Cavan Burren Park and Visitor Centre</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Cavan</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Cavan County Museum</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Cavan</w:t>
            </w:r>
          </w:p>
        </w:tc>
        <w:tc>
          <w:tcPr>
            <w:tcW w:w="1418" w:type="dxa"/>
            <w:tcBorders>
              <w:top w:val="nil"/>
              <w:left w:val="nil"/>
              <w:bottom w:val="nil"/>
              <w:right w:val="nil"/>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Camden Fort Meagher</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Fota</w:t>
            </w:r>
            <w:proofErr w:type="spellEnd"/>
            <w:r w:rsidRPr="008A2263">
              <w:rPr>
                <w:rFonts w:ascii="Arial" w:eastAsia="Times New Roman" w:hAnsi="Arial" w:cs="Arial"/>
                <w:sz w:val="20"/>
                <w:szCs w:val="20"/>
                <w:lang w:val="en-IE" w:eastAsia="en-IE"/>
              </w:rPr>
              <w:t xml:space="preserve"> Arboretum &amp; Gardens</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The Jameson Experience</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Medium</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Youghal</w:t>
            </w:r>
            <w:proofErr w:type="spellEnd"/>
            <w:r w:rsidRPr="008A2263">
              <w:rPr>
                <w:rFonts w:ascii="Arial" w:eastAsia="Times New Roman" w:hAnsi="Arial" w:cs="Arial"/>
                <w:sz w:val="20"/>
                <w:szCs w:val="20"/>
                <w:lang w:val="en-IE" w:eastAsia="en-IE"/>
              </w:rPr>
              <w:t xml:space="preserve"> Heritage Centre </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9</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CIT Blackrock Castle Observatory</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 City</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50478C">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Large </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10</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Cork City Gaol </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 City</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50478C">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11</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 Public Museum</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 City</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Medium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lastRenderedPageBreak/>
              <w:t>12</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Shandon Butter Museum &amp; St </w:t>
            </w:r>
            <w:proofErr w:type="spellStart"/>
            <w:r w:rsidRPr="008A2263">
              <w:rPr>
                <w:rFonts w:ascii="Arial" w:eastAsia="Times New Roman" w:hAnsi="Arial" w:cs="Arial"/>
                <w:sz w:val="20"/>
                <w:szCs w:val="20"/>
                <w:lang w:val="en-IE" w:eastAsia="en-IE"/>
              </w:rPr>
              <w:t>Annes</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 City</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Medium</w:t>
            </w:r>
          </w:p>
        </w:tc>
        <w:tc>
          <w:tcPr>
            <w:tcW w:w="1417" w:type="dxa"/>
            <w:tcBorders>
              <w:top w:val="nil"/>
              <w:left w:val="nil"/>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13</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St Fin Barre's Cathedral</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Cork City</w:t>
            </w:r>
          </w:p>
        </w:tc>
        <w:tc>
          <w:tcPr>
            <w:tcW w:w="1418" w:type="dxa"/>
            <w:tcBorders>
              <w:top w:val="nil"/>
              <w:left w:val="nil"/>
              <w:bottom w:val="nil"/>
              <w:right w:val="nil"/>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Medium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14</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Shackleton Museum</w:t>
            </w:r>
            <w:r w:rsidR="005877E3">
              <w:rPr>
                <w:rFonts w:ascii="Arial" w:eastAsia="Times New Roman" w:hAnsi="Arial" w:cs="Arial"/>
                <w:sz w:val="20"/>
                <w:szCs w:val="20"/>
                <w:lang w:val="en-IE" w:eastAsia="en-IE"/>
              </w:rPr>
              <w:t xml:space="preserve">, </w:t>
            </w:r>
            <w:proofErr w:type="spellStart"/>
            <w:r w:rsidR="005877E3">
              <w:rPr>
                <w:rFonts w:ascii="Arial" w:eastAsia="Times New Roman" w:hAnsi="Arial" w:cs="Arial"/>
                <w:sz w:val="20"/>
                <w:szCs w:val="20"/>
                <w:lang w:val="en-IE" w:eastAsia="en-IE"/>
              </w:rPr>
              <w:t>Athy</w:t>
            </w:r>
            <w:proofErr w:type="spellEnd"/>
            <w:r w:rsidR="00BC1F9B">
              <w:rPr>
                <w:rFonts w:ascii="Arial" w:eastAsia="Times New Roman" w:hAnsi="Arial" w:cs="Arial"/>
                <w:sz w:val="20"/>
                <w:szCs w:val="20"/>
                <w:lang w:val="en-IE" w:eastAsia="en-IE"/>
              </w:rPr>
              <w:t xml:space="preserve"> (TBC)</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Kildare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tbc</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15</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Castletown House</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Kildare</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16</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Irish National Stud &amp; Japanese Gardens</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Kildare</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17</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Kildare Town Heritage Centre </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Kildare</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Medium</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Lullymore</w:t>
            </w:r>
            <w:proofErr w:type="spellEnd"/>
            <w:r w:rsidRPr="008A2263">
              <w:rPr>
                <w:rFonts w:ascii="Arial" w:eastAsia="Times New Roman" w:hAnsi="Arial" w:cs="Arial"/>
                <w:sz w:val="20"/>
                <w:szCs w:val="20"/>
                <w:lang w:val="en-IE" w:eastAsia="en-IE"/>
              </w:rPr>
              <w:t xml:space="preserve"> Heritage and Discovery Park</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Kildare</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19</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Castlecomer Discovery Park</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Kilkenny</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20</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Jerpoint</w:t>
            </w:r>
            <w:proofErr w:type="spellEnd"/>
            <w:r w:rsidRPr="008A2263">
              <w:rPr>
                <w:rFonts w:ascii="Arial" w:eastAsia="Times New Roman" w:hAnsi="Arial" w:cs="Arial"/>
                <w:sz w:val="20"/>
                <w:szCs w:val="20"/>
                <w:lang w:val="en-IE" w:eastAsia="en-IE"/>
              </w:rPr>
              <w:t xml:space="preserve"> Abbey</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Kilkenny</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21</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Jerpoint</w:t>
            </w:r>
            <w:proofErr w:type="spellEnd"/>
            <w:r w:rsidRPr="008A2263">
              <w:rPr>
                <w:rFonts w:ascii="Arial" w:eastAsia="Times New Roman" w:hAnsi="Arial" w:cs="Arial"/>
                <w:sz w:val="20"/>
                <w:szCs w:val="20"/>
                <w:lang w:val="en-IE" w:eastAsia="en-IE"/>
              </w:rPr>
              <w:t xml:space="preserve"> Park</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Kilkenny</w:t>
            </w:r>
          </w:p>
        </w:tc>
        <w:tc>
          <w:tcPr>
            <w:tcW w:w="1418" w:type="dxa"/>
            <w:tcBorders>
              <w:top w:val="nil"/>
              <w:left w:val="nil"/>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22</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Nicholas </w:t>
            </w:r>
            <w:proofErr w:type="spellStart"/>
            <w:r w:rsidRPr="008A2263">
              <w:rPr>
                <w:rFonts w:ascii="Arial" w:eastAsia="Times New Roman" w:hAnsi="Arial" w:cs="Arial"/>
                <w:sz w:val="20"/>
                <w:szCs w:val="20"/>
                <w:lang w:val="en-IE" w:eastAsia="en-IE"/>
              </w:rPr>
              <w:t>Mosse</w:t>
            </w:r>
            <w:proofErr w:type="spellEnd"/>
            <w:r w:rsidRPr="008A2263">
              <w:rPr>
                <w:rFonts w:ascii="Arial" w:eastAsia="Times New Roman" w:hAnsi="Arial" w:cs="Arial"/>
                <w:sz w:val="20"/>
                <w:szCs w:val="20"/>
                <w:lang w:val="en-IE" w:eastAsia="en-IE"/>
              </w:rPr>
              <w:t xml:space="preserve"> Pottery</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Kilkenny</w:t>
            </w:r>
          </w:p>
        </w:tc>
        <w:tc>
          <w:tcPr>
            <w:tcW w:w="1418" w:type="dxa"/>
            <w:tcBorders>
              <w:top w:val="nil"/>
              <w:left w:val="nil"/>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color w:val="000000"/>
                <w:sz w:val="20"/>
                <w:szCs w:val="20"/>
                <w:lang w:val="en-IE" w:eastAsia="en-IE"/>
              </w:rPr>
            </w:pPr>
            <w:r>
              <w:rPr>
                <w:rFonts w:ascii="Arial" w:eastAsia="Times New Roman" w:hAnsi="Arial" w:cs="Arial"/>
                <w:color w:val="000000"/>
                <w:sz w:val="20"/>
                <w:szCs w:val="20"/>
                <w:lang w:val="en-IE" w:eastAsia="en-IE"/>
              </w:rPr>
              <w:t>23</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 xml:space="preserve">Medieval Mile - St. </w:t>
            </w:r>
            <w:proofErr w:type="spellStart"/>
            <w:r w:rsidRPr="008A2263">
              <w:rPr>
                <w:rFonts w:ascii="Arial" w:eastAsia="Times New Roman" w:hAnsi="Arial" w:cs="Arial"/>
                <w:color w:val="000000"/>
                <w:sz w:val="20"/>
                <w:szCs w:val="20"/>
                <w:lang w:val="en-IE" w:eastAsia="en-IE"/>
              </w:rPr>
              <w:t>Canices</w:t>
            </w:r>
            <w:proofErr w:type="spellEnd"/>
            <w:r w:rsidRPr="008A2263">
              <w:rPr>
                <w:rFonts w:ascii="Arial" w:eastAsia="Times New Roman" w:hAnsi="Arial" w:cs="Arial"/>
                <w:color w:val="000000"/>
                <w:sz w:val="20"/>
                <w:szCs w:val="20"/>
                <w:lang w:val="en-IE" w:eastAsia="en-IE"/>
              </w:rPr>
              <w:t xml:space="preserve"> Cathedral</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Kilkenny</w:t>
            </w:r>
          </w:p>
        </w:tc>
        <w:tc>
          <w:tcPr>
            <w:tcW w:w="1418" w:type="dxa"/>
            <w:tcBorders>
              <w:top w:val="nil"/>
              <w:left w:val="nil"/>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Medium</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color w:val="000000"/>
                <w:sz w:val="20"/>
                <w:szCs w:val="20"/>
                <w:lang w:val="en-IE" w:eastAsia="en-IE"/>
              </w:rPr>
            </w:pPr>
            <w:r>
              <w:rPr>
                <w:rFonts w:ascii="Arial" w:eastAsia="Times New Roman" w:hAnsi="Arial" w:cs="Arial"/>
                <w:color w:val="000000"/>
                <w:sz w:val="20"/>
                <w:szCs w:val="20"/>
                <w:lang w:val="en-IE" w:eastAsia="en-IE"/>
              </w:rPr>
              <w:t>24</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Woodstock Gardens and Arboretum</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Kilkenny</w:t>
            </w:r>
          </w:p>
        </w:tc>
        <w:tc>
          <w:tcPr>
            <w:tcW w:w="1418" w:type="dxa"/>
            <w:tcBorders>
              <w:top w:val="nil"/>
              <w:left w:val="nil"/>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Large</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25</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Medieval Mile - Castle Plaza</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Kilkenny</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26</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Abbeyleix</w:t>
            </w:r>
            <w:proofErr w:type="spellEnd"/>
            <w:r w:rsidRPr="008A2263">
              <w:rPr>
                <w:rFonts w:ascii="Arial" w:eastAsia="Times New Roman" w:hAnsi="Arial" w:cs="Arial"/>
                <w:sz w:val="20"/>
                <w:szCs w:val="20"/>
                <w:lang w:val="en-IE" w:eastAsia="en-IE"/>
              </w:rPr>
              <w:t xml:space="preserve"> Heritage House</w:t>
            </w:r>
          </w:p>
        </w:tc>
        <w:tc>
          <w:tcPr>
            <w:tcW w:w="1842"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Laois</w:t>
            </w:r>
          </w:p>
        </w:tc>
        <w:tc>
          <w:tcPr>
            <w:tcW w:w="1418" w:type="dxa"/>
            <w:tcBorders>
              <w:top w:val="nil"/>
              <w:left w:val="nil"/>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Wall</w:t>
            </w:r>
          </w:p>
        </w:tc>
        <w:tc>
          <w:tcPr>
            <w:tcW w:w="1417" w:type="dxa"/>
            <w:tcBorders>
              <w:top w:val="nil"/>
              <w:left w:val="nil"/>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single" w:sz="4" w:space="0" w:color="auto"/>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27</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Emo Court House &amp; Gardens</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Laois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Heywood Gardens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Laois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29</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Timahoe</w:t>
            </w:r>
            <w:proofErr w:type="spellEnd"/>
            <w:r w:rsidRPr="008A2263">
              <w:rPr>
                <w:rFonts w:ascii="Arial" w:eastAsia="Times New Roman" w:hAnsi="Arial" w:cs="Arial"/>
                <w:sz w:val="20"/>
                <w:szCs w:val="20"/>
                <w:lang w:val="en-IE" w:eastAsia="en-IE"/>
              </w:rPr>
              <w:t xml:space="preserve"> Round Tower</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Laois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30</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Rock of </w:t>
            </w:r>
            <w:proofErr w:type="spellStart"/>
            <w:r w:rsidRPr="008A2263">
              <w:rPr>
                <w:rFonts w:ascii="Arial" w:eastAsia="Times New Roman" w:hAnsi="Arial" w:cs="Arial"/>
                <w:sz w:val="20"/>
                <w:szCs w:val="20"/>
                <w:lang w:val="en-IE" w:eastAsia="en-IE"/>
              </w:rPr>
              <w:t>Dunamase</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Laois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31</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Lough Gur</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Limerick</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32</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Corlea</w:t>
            </w:r>
            <w:proofErr w:type="spellEnd"/>
            <w:r w:rsidRPr="008A2263">
              <w:rPr>
                <w:rFonts w:ascii="Arial" w:eastAsia="Times New Roman" w:hAnsi="Arial" w:cs="Arial"/>
                <w:sz w:val="20"/>
                <w:szCs w:val="20"/>
                <w:lang w:val="en-IE" w:eastAsia="en-IE"/>
              </w:rPr>
              <w:t xml:space="preserve"> Trackway Visitor Centre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Longford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50478C"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50478C"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33</w:t>
            </w:r>
          </w:p>
        </w:tc>
        <w:tc>
          <w:tcPr>
            <w:tcW w:w="3261" w:type="dxa"/>
            <w:tcBorders>
              <w:top w:val="nil"/>
              <w:left w:val="single" w:sz="4" w:space="0" w:color="auto"/>
              <w:bottom w:val="single" w:sz="4" w:space="0" w:color="auto"/>
              <w:right w:val="single" w:sz="4" w:space="0" w:color="auto"/>
            </w:tcBorders>
            <w:shd w:val="clear" w:color="auto" w:fill="auto"/>
            <w:noWrap/>
            <w:vAlign w:val="bottom"/>
          </w:tcPr>
          <w:p w:rsidR="0050478C"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 xml:space="preserve">St. </w:t>
            </w:r>
            <w:proofErr w:type="spellStart"/>
            <w:r>
              <w:rPr>
                <w:rFonts w:ascii="Arial" w:eastAsia="Times New Roman" w:hAnsi="Arial" w:cs="Arial"/>
                <w:sz w:val="20"/>
                <w:szCs w:val="20"/>
                <w:lang w:val="en-IE" w:eastAsia="en-IE"/>
              </w:rPr>
              <w:t>Mels</w:t>
            </w:r>
            <w:proofErr w:type="spellEnd"/>
            <w:r>
              <w:rPr>
                <w:rFonts w:ascii="Arial" w:eastAsia="Times New Roman" w:hAnsi="Arial" w:cs="Arial"/>
                <w:sz w:val="20"/>
                <w:szCs w:val="20"/>
                <w:lang w:val="en-IE" w:eastAsia="en-IE"/>
              </w:rPr>
              <w:t xml:space="preserve"> Cathedral</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50478C"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Longford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50478C" w:rsidRPr="008A2263" w:rsidRDefault="0050478C"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0478C" w:rsidRPr="008A2263" w:rsidRDefault="0050478C" w:rsidP="00A97478">
            <w:pPr>
              <w:spacing w:after="0" w:line="240" w:lineRule="auto"/>
              <w:rPr>
                <w:rFonts w:ascii="Arial" w:eastAsia="Times New Roman" w:hAnsi="Arial" w:cs="Arial"/>
                <w:sz w:val="20"/>
                <w:szCs w:val="20"/>
                <w:lang w:val="en-IE" w:eastAsia="en-IE"/>
              </w:rPr>
            </w:pPr>
          </w:p>
        </w:tc>
        <w:tc>
          <w:tcPr>
            <w:tcW w:w="1239" w:type="dxa"/>
            <w:vAlign w:val="center"/>
          </w:tcPr>
          <w:p w:rsidR="0050478C" w:rsidRPr="008A2263" w:rsidRDefault="0050478C" w:rsidP="00A97478">
            <w:pPr>
              <w:spacing w:after="0" w:line="240" w:lineRule="auto"/>
              <w:rPr>
                <w:rFonts w:ascii="Arial" w:eastAsia="Times New Roman" w:hAnsi="Arial" w:cs="Arial"/>
                <w:sz w:val="20"/>
                <w:szCs w:val="20"/>
                <w:lang w:val="en-IE" w:eastAsia="en-IE"/>
              </w:rPr>
            </w:pPr>
          </w:p>
        </w:tc>
        <w:tc>
          <w:tcPr>
            <w:tcW w:w="222" w:type="dxa"/>
            <w:vAlign w:val="center"/>
          </w:tcPr>
          <w:p w:rsidR="0050478C" w:rsidRPr="008A2263" w:rsidRDefault="0050478C" w:rsidP="00A97478">
            <w:pPr>
              <w:spacing w:after="0" w:line="240" w:lineRule="auto"/>
              <w:rPr>
                <w:rFonts w:ascii="Arial" w:eastAsia="Times New Roman" w:hAnsi="Arial" w:cs="Arial"/>
                <w:sz w:val="20"/>
                <w:szCs w:val="20"/>
                <w:lang w:val="en-IE" w:eastAsia="en-IE"/>
              </w:rPr>
            </w:pPr>
          </w:p>
        </w:tc>
        <w:tc>
          <w:tcPr>
            <w:tcW w:w="222" w:type="dxa"/>
            <w:vAlign w:val="center"/>
          </w:tcPr>
          <w:p w:rsidR="0050478C" w:rsidRPr="008A2263" w:rsidRDefault="0050478C" w:rsidP="00A97478">
            <w:pPr>
              <w:spacing w:after="0" w:line="240" w:lineRule="auto"/>
              <w:rPr>
                <w:rFonts w:ascii="Arial" w:eastAsia="Times New Roman" w:hAnsi="Arial" w:cs="Arial"/>
                <w:sz w:val="20"/>
                <w:szCs w:val="20"/>
                <w:lang w:val="en-IE" w:eastAsia="en-IE"/>
              </w:rPr>
            </w:pPr>
          </w:p>
        </w:tc>
        <w:tc>
          <w:tcPr>
            <w:tcW w:w="222" w:type="dxa"/>
            <w:vAlign w:val="center"/>
          </w:tcPr>
          <w:p w:rsidR="0050478C" w:rsidRPr="008A2263" w:rsidRDefault="0050478C" w:rsidP="00A97478">
            <w:pPr>
              <w:spacing w:after="0" w:line="240" w:lineRule="auto"/>
              <w:rPr>
                <w:rFonts w:ascii="Arial" w:eastAsia="Times New Roman" w:hAnsi="Arial" w:cs="Arial"/>
                <w:sz w:val="20"/>
                <w:szCs w:val="20"/>
                <w:lang w:val="en-IE" w:eastAsia="en-IE"/>
              </w:rPr>
            </w:pPr>
          </w:p>
        </w:tc>
        <w:tc>
          <w:tcPr>
            <w:tcW w:w="236" w:type="dxa"/>
            <w:vAlign w:val="center"/>
          </w:tcPr>
          <w:p w:rsidR="0050478C" w:rsidRPr="008A2263" w:rsidRDefault="0050478C" w:rsidP="00A97478">
            <w:pPr>
              <w:spacing w:after="0" w:line="240" w:lineRule="auto"/>
              <w:rPr>
                <w:rFonts w:ascii="Arial" w:eastAsia="Times New Roman" w:hAnsi="Arial" w:cs="Arial"/>
                <w:sz w:val="20"/>
                <w:szCs w:val="20"/>
                <w:lang w:val="en-IE" w:eastAsia="en-IE"/>
              </w:rPr>
            </w:pPr>
          </w:p>
        </w:tc>
        <w:tc>
          <w:tcPr>
            <w:tcW w:w="986" w:type="dxa"/>
            <w:gridSpan w:val="2"/>
            <w:vAlign w:val="center"/>
          </w:tcPr>
          <w:p w:rsidR="0050478C" w:rsidRPr="008A2263" w:rsidRDefault="0050478C" w:rsidP="00A97478">
            <w:pPr>
              <w:spacing w:after="0" w:line="240" w:lineRule="auto"/>
              <w:rPr>
                <w:rFonts w:ascii="Arial" w:eastAsia="Times New Roman" w:hAnsi="Arial" w:cs="Arial"/>
                <w:sz w:val="20"/>
                <w:szCs w:val="20"/>
                <w:lang w:val="en-IE" w:eastAsia="en-IE"/>
              </w:rPr>
            </w:pPr>
          </w:p>
        </w:tc>
        <w:tc>
          <w:tcPr>
            <w:tcW w:w="1180" w:type="dxa"/>
            <w:gridSpan w:val="2"/>
            <w:vAlign w:val="center"/>
          </w:tcPr>
          <w:p w:rsidR="0050478C" w:rsidRPr="008A2263" w:rsidRDefault="0050478C"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34</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50478C" w:rsidP="0050478C">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 xml:space="preserve">Market Square, </w:t>
            </w:r>
            <w:r w:rsidR="00A97478" w:rsidRPr="008A2263">
              <w:rPr>
                <w:rFonts w:ascii="Arial" w:eastAsia="Times New Roman" w:hAnsi="Arial" w:cs="Arial"/>
                <w:sz w:val="20"/>
                <w:szCs w:val="20"/>
                <w:lang w:val="en-IE" w:eastAsia="en-IE"/>
              </w:rPr>
              <w:t>Dundalk</w:t>
            </w:r>
            <w:r>
              <w:rPr>
                <w:rFonts w:ascii="Arial" w:eastAsia="Times New Roman" w:hAnsi="Arial" w:cs="Arial"/>
                <w:sz w:val="20"/>
                <w:szCs w:val="20"/>
                <w:lang w:val="en-IE" w:eastAsia="en-IE"/>
              </w:rPr>
              <w:t xml:space="preserve"> (Tourist Office)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Louth</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35</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Drogheda Museum &amp; Martello Tower</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Louth</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36</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King John's Castle Carlingford</w:t>
            </w:r>
            <w:r w:rsidR="0050478C">
              <w:rPr>
                <w:rFonts w:ascii="Arial" w:eastAsia="Times New Roman" w:hAnsi="Arial" w:cs="Arial"/>
                <w:sz w:val="20"/>
                <w:szCs w:val="20"/>
                <w:lang w:val="en-IE" w:eastAsia="en-IE"/>
              </w:rPr>
              <w:t xml:space="preserve"> (Tourist Office)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Louth</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37</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Monasterboice</w:t>
            </w:r>
            <w:proofErr w:type="spellEnd"/>
            <w:r w:rsidRPr="008A2263">
              <w:rPr>
                <w:rFonts w:ascii="Arial" w:eastAsia="Times New Roman" w:hAnsi="Arial" w:cs="Arial"/>
                <w:sz w:val="20"/>
                <w:szCs w:val="20"/>
                <w:lang w:val="en-IE" w:eastAsia="en-IE"/>
              </w:rPr>
              <w:t xml:space="preserve"> High Crosses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Louth</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Old </w:t>
            </w:r>
            <w:proofErr w:type="spellStart"/>
            <w:r w:rsidRPr="008A2263">
              <w:rPr>
                <w:rFonts w:ascii="Arial" w:eastAsia="Times New Roman" w:hAnsi="Arial" w:cs="Arial"/>
                <w:sz w:val="20"/>
                <w:szCs w:val="20"/>
                <w:lang w:val="en-IE" w:eastAsia="en-IE"/>
              </w:rPr>
              <w:t>Mellifont</w:t>
            </w:r>
            <w:proofErr w:type="spellEnd"/>
            <w:r w:rsidRPr="008A2263">
              <w:rPr>
                <w:rFonts w:ascii="Arial" w:eastAsia="Times New Roman" w:hAnsi="Arial" w:cs="Arial"/>
                <w:sz w:val="20"/>
                <w:szCs w:val="20"/>
                <w:lang w:val="en-IE" w:eastAsia="en-IE"/>
              </w:rPr>
              <w:t xml:space="preserve"> Abbey</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Louth</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39</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Battle of the Boyne Visitor Centre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Meath</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40</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Bru</w:t>
            </w:r>
            <w:proofErr w:type="spellEnd"/>
            <w:r w:rsidRPr="008A2263">
              <w:rPr>
                <w:rFonts w:ascii="Arial" w:eastAsia="Times New Roman" w:hAnsi="Arial" w:cs="Arial"/>
                <w:sz w:val="20"/>
                <w:szCs w:val="20"/>
                <w:lang w:val="en-IE" w:eastAsia="en-IE"/>
              </w:rPr>
              <w:t xml:space="preserve"> </w:t>
            </w:r>
            <w:proofErr w:type="spellStart"/>
            <w:r w:rsidRPr="008A2263">
              <w:rPr>
                <w:rFonts w:ascii="Arial" w:eastAsia="Times New Roman" w:hAnsi="Arial" w:cs="Arial"/>
                <w:sz w:val="20"/>
                <w:szCs w:val="20"/>
                <w:lang w:val="en-IE" w:eastAsia="en-IE"/>
              </w:rPr>
              <w:t>na</w:t>
            </w:r>
            <w:proofErr w:type="spellEnd"/>
            <w:r w:rsidRPr="008A2263">
              <w:rPr>
                <w:rFonts w:ascii="Arial" w:eastAsia="Times New Roman" w:hAnsi="Arial" w:cs="Arial"/>
                <w:sz w:val="20"/>
                <w:szCs w:val="20"/>
                <w:lang w:val="en-IE" w:eastAsia="en-IE"/>
              </w:rPr>
              <w:t xml:space="preserve"> </w:t>
            </w:r>
            <w:proofErr w:type="spellStart"/>
            <w:r w:rsidRPr="008A2263">
              <w:rPr>
                <w:rFonts w:ascii="Arial" w:eastAsia="Times New Roman" w:hAnsi="Arial" w:cs="Arial"/>
                <w:sz w:val="20"/>
                <w:szCs w:val="20"/>
                <w:lang w:val="en-IE" w:eastAsia="en-IE"/>
              </w:rPr>
              <w:t>Boinne</w:t>
            </w:r>
            <w:proofErr w:type="spellEnd"/>
            <w:r w:rsidRPr="008A2263">
              <w:rPr>
                <w:rFonts w:ascii="Arial" w:eastAsia="Times New Roman" w:hAnsi="Arial" w:cs="Arial"/>
                <w:sz w:val="20"/>
                <w:szCs w:val="20"/>
                <w:lang w:val="en-IE" w:eastAsia="en-IE"/>
              </w:rPr>
              <w:t xml:space="preserve"> Visitor Centre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Meath</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41</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Kells</w:t>
            </w:r>
            <w:proofErr w:type="spellEnd"/>
            <w:r w:rsidRPr="008A2263">
              <w:rPr>
                <w:rFonts w:ascii="Arial" w:eastAsia="Times New Roman" w:hAnsi="Arial" w:cs="Arial"/>
                <w:sz w:val="20"/>
                <w:szCs w:val="20"/>
                <w:lang w:val="en-IE" w:eastAsia="en-IE"/>
              </w:rPr>
              <w:t xml:space="preserve"> High Crosses</w:t>
            </w:r>
            <w:r w:rsidR="00BC1F9B">
              <w:rPr>
                <w:rFonts w:ascii="Arial" w:eastAsia="Times New Roman" w:hAnsi="Arial" w:cs="Arial"/>
                <w:sz w:val="20"/>
                <w:szCs w:val="20"/>
                <w:lang w:val="en-IE" w:eastAsia="en-IE"/>
              </w:rPr>
              <w:t>, (</w:t>
            </w:r>
            <w:proofErr w:type="spellStart"/>
            <w:r w:rsidR="00BC1F9B">
              <w:rPr>
                <w:rFonts w:ascii="Arial" w:eastAsia="Times New Roman" w:hAnsi="Arial" w:cs="Arial"/>
                <w:sz w:val="20"/>
                <w:szCs w:val="20"/>
                <w:lang w:val="en-IE" w:eastAsia="en-IE"/>
              </w:rPr>
              <w:t>Headfort</w:t>
            </w:r>
            <w:proofErr w:type="spellEnd"/>
            <w:r w:rsidR="00BC1F9B">
              <w:rPr>
                <w:rFonts w:ascii="Arial" w:eastAsia="Times New Roman" w:hAnsi="Arial" w:cs="Arial"/>
                <w:sz w:val="20"/>
                <w:szCs w:val="20"/>
                <w:lang w:val="en-IE" w:eastAsia="en-IE"/>
              </w:rPr>
              <w:t xml:space="preserve"> Place)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Meath</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42</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Monaghan County Museum</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Monaghan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43</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Carrickmacross</w:t>
            </w:r>
            <w:proofErr w:type="spellEnd"/>
            <w:r w:rsidRPr="008A2263">
              <w:rPr>
                <w:rFonts w:ascii="Arial" w:eastAsia="Times New Roman" w:hAnsi="Arial" w:cs="Arial"/>
                <w:sz w:val="20"/>
                <w:szCs w:val="20"/>
                <w:lang w:val="en-IE" w:eastAsia="en-IE"/>
              </w:rPr>
              <w:t xml:space="preserve"> Lace Gallery</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Monaghan</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44</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Birr Castle &amp; Museum</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Offaly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45</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Clonmacnoise</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Offaly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46</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Lough Boora Mesolithic Site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Offaly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47</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Tullamore</w:t>
            </w:r>
            <w:proofErr w:type="spellEnd"/>
            <w:r w:rsidRPr="008A2263">
              <w:rPr>
                <w:rFonts w:ascii="Arial" w:eastAsia="Times New Roman" w:hAnsi="Arial" w:cs="Arial"/>
                <w:sz w:val="20"/>
                <w:szCs w:val="20"/>
                <w:lang w:val="en-IE" w:eastAsia="en-IE"/>
              </w:rPr>
              <w:t xml:space="preserve"> D.E.W. </w:t>
            </w:r>
            <w:proofErr w:type="spellStart"/>
            <w:r w:rsidRPr="008A2263">
              <w:rPr>
                <w:rFonts w:ascii="Arial" w:eastAsia="Times New Roman" w:hAnsi="Arial" w:cs="Arial"/>
                <w:sz w:val="20"/>
                <w:szCs w:val="20"/>
                <w:lang w:val="en-IE" w:eastAsia="en-IE"/>
              </w:rPr>
              <w:t>Herritage</w:t>
            </w:r>
            <w:proofErr w:type="spellEnd"/>
            <w:r w:rsidRPr="008A2263">
              <w:rPr>
                <w:rFonts w:ascii="Arial" w:eastAsia="Times New Roman" w:hAnsi="Arial" w:cs="Arial"/>
                <w:sz w:val="20"/>
                <w:szCs w:val="20"/>
                <w:lang w:val="en-IE" w:eastAsia="en-IE"/>
              </w:rPr>
              <w:t xml:space="preserve"> Centre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Offaly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48</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Cahir Castle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Tipperary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49</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Nenagh</w:t>
            </w:r>
            <w:proofErr w:type="spellEnd"/>
            <w:r w:rsidRPr="008A2263">
              <w:rPr>
                <w:rFonts w:ascii="Arial" w:eastAsia="Times New Roman" w:hAnsi="Arial" w:cs="Arial"/>
                <w:sz w:val="20"/>
                <w:szCs w:val="20"/>
                <w:lang w:val="en-IE" w:eastAsia="en-IE"/>
              </w:rPr>
              <w:t xml:space="preserve"> Castle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Tipperary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50</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Ormond Castle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Tipperary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51</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Rock of Cashel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Tipperary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lastRenderedPageBreak/>
              <w:t>52</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Roscrea Castle and </w:t>
            </w:r>
            <w:proofErr w:type="spellStart"/>
            <w:r w:rsidRPr="008A2263">
              <w:rPr>
                <w:rFonts w:ascii="Arial" w:eastAsia="Times New Roman" w:hAnsi="Arial" w:cs="Arial"/>
                <w:sz w:val="20"/>
                <w:szCs w:val="20"/>
                <w:lang w:val="en-IE" w:eastAsia="en-IE"/>
              </w:rPr>
              <w:t>Damer</w:t>
            </w:r>
            <w:proofErr w:type="spellEnd"/>
            <w:r w:rsidRPr="008A2263">
              <w:rPr>
                <w:rFonts w:ascii="Arial" w:eastAsia="Times New Roman" w:hAnsi="Arial" w:cs="Arial"/>
                <w:sz w:val="20"/>
                <w:szCs w:val="20"/>
                <w:lang w:val="en-IE" w:eastAsia="en-IE"/>
              </w:rPr>
              <w:t xml:space="preserve"> House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Tipperary</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53</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Copper Coast UNESCO </w:t>
            </w:r>
            <w:proofErr w:type="spellStart"/>
            <w:r w:rsidRPr="008A2263">
              <w:rPr>
                <w:rFonts w:ascii="Arial" w:eastAsia="Times New Roman" w:hAnsi="Arial" w:cs="Arial"/>
                <w:sz w:val="20"/>
                <w:szCs w:val="20"/>
                <w:lang w:val="en-IE" w:eastAsia="en-IE"/>
              </w:rPr>
              <w:t>Geopark</w:t>
            </w:r>
            <w:proofErr w:type="spellEnd"/>
            <w:r w:rsidR="00BC1F9B">
              <w:rPr>
                <w:rFonts w:ascii="Arial" w:eastAsia="Times New Roman" w:hAnsi="Arial" w:cs="Arial"/>
                <w:sz w:val="20"/>
                <w:szCs w:val="20"/>
                <w:lang w:val="en-IE" w:eastAsia="en-IE"/>
              </w:rPr>
              <w:t xml:space="preserve">, </w:t>
            </w:r>
            <w:proofErr w:type="spellStart"/>
            <w:r w:rsidR="00BC1F9B">
              <w:rPr>
                <w:rFonts w:ascii="Arial" w:eastAsia="Times New Roman" w:hAnsi="Arial" w:cs="Arial"/>
                <w:sz w:val="20"/>
                <w:szCs w:val="20"/>
                <w:lang w:val="en-IE" w:eastAsia="en-IE"/>
              </w:rPr>
              <w:t>Bunmahon</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Waterford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54</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Dungarvan</w:t>
            </w:r>
            <w:proofErr w:type="spellEnd"/>
            <w:r w:rsidRPr="008A2263">
              <w:rPr>
                <w:rFonts w:ascii="Arial" w:eastAsia="Times New Roman" w:hAnsi="Arial" w:cs="Arial"/>
                <w:sz w:val="20"/>
                <w:szCs w:val="20"/>
                <w:lang w:val="en-IE" w:eastAsia="en-IE"/>
              </w:rPr>
              <w:t xml:space="preserve"> Castle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Waterford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55</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Lismore Castle Gardens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Waterford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56</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Ardmore Cathedral &amp; Round Tower</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Waterford</w:t>
            </w:r>
          </w:p>
        </w:tc>
        <w:tc>
          <w:tcPr>
            <w:tcW w:w="1418" w:type="dxa"/>
            <w:tcBorders>
              <w:top w:val="nil"/>
              <w:left w:val="single" w:sz="4" w:space="0" w:color="auto"/>
              <w:bottom w:val="nil"/>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57</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Viking Triangle </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Waterford</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Athlone</w:t>
            </w:r>
            <w:proofErr w:type="spellEnd"/>
            <w:r w:rsidRPr="008A2263">
              <w:rPr>
                <w:rFonts w:ascii="Arial" w:eastAsia="Times New Roman" w:hAnsi="Arial" w:cs="Arial"/>
                <w:sz w:val="20"/>
                <w:szCs w:val="20"/>
                <w:lang w:val="en-IE" w:eastAsia="en-IE"/>
              </w:rPr>
              <w:t xml:space="preserve"> Castle Visitor Centre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Westmeath</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59</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Belvedere House and Gardens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Westmeath</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60</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Kilbeggan</w:t>
            </w:r>
            <w:proofErr w:type="spellEnd"/>
            <w:r w:rsidRPr="008A2263">
              <w:rPr>
                <w:rFonts w:ascii="Arial" w:eastAsia="Times New Roman" w:hAnsi="Arial" w:cs="Arial"/>
                <w:sz w:val="20"/>
                <w:szCs w:val="20"/>
                <w:lang w:val="en-IE" w:eastAsia="en-IE"/>
              </w:rPr>
              <w:t xml:space="preserve"> Distillery Experience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Westmeath</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61</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Tullynally</w:t>
            </w:r>
            <w:proofErr w:type="spellEnd"/>
            <w:r w:rsidRPr="008A2263">
              <w:rPr>
                <w:rFonts w:ascii="Arial" w:eastAsia="Times New Roman" w:hAnsi="Arial" w:cs="Arial"/>
                <w:sz w:val="20"/>
                <w:szCs w:val="20"/>
                <w:lang w:val="en-IE" w:eastAsia="en-IE"/>
              </w:rPr>
              <w:t xml:space="preserve"> Castle Gardens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Westmeath</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62</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Dunbrody</w:t>
            </w:r>
            <w:proofErr w:type="spellEnd"/>
            <w:r w:rsidRPr="008A2263">
              <w:rPr>
                <w:rFonts w:ascii="Arial" w:eastAsia="Times New Roman" w:hAnsi="Arial" w:cs="Arial"/>
                <w:sz w:val="20"/>
                <w:szCs w:val="20"/>
                <w:lang w:val="en-IE" w:eastAsia="en-IE"/>
              </w:rPr>
              <w:t xml:space="preserve"> Abbey and Visitor Centre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63</w:t>
            </w:r>
          </w:p>
        </w:tc>
        <w:tc>
          <w:tcPr>
            <w:tcW w:w="3261" w:type="dxa"/>
            <w:tcBorders>
              <w:top w:val="nil"/>
              <w:left w:val="single" w:sz="4" w:space="0" w:color="auto"/>
              <w:bottom w:val="single" w:sz="4" w:space="0" w:color="auto"/>
              <w:right w:val="single" w:sz="4" w:space="0" w:color="auto"/>
            </w:tcBorders>
            <w:shd w:val="clear" w:color="000000" w:fill="FFFFFF"/>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Dunbrody</w:t>
            </w:r>
            <w:proofErr w:type="spellEnd"/>
            <w:r w:rsidRPr="008A2263">
              <w:rPr>
                <w:rFonts w:ascii="Arial" w:eastAsia="Times New Roman" w:hAnsi="Arial" w:cs="Arial"/>
                <w:sz w:val="20"/>
                <w:szCs w:val="20"/>
                <w:lang w:val="en-IE" w:eastAsia="en-IE"/>
              </w:rPr>
              <w:t xml:space="preserve"> Famine Ship Experience</w:t>
            </w:r>
            <w:r w:rsidRPr="008A2263">
              <w:rPr>
                <w:rFonts w:ascii="Arial" w:eastAsia="Times New Roman" w:hAnsi="Arial" w:cs="Arial"/>
                <w:sz w:val="20"/>
                <w:szCs w:val="20"/>
                <w:lang w:val="en-IE" w:eastAsia="en-IE"/>
              </w:rPr>
              <w:tab/>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Medium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64</w:t>
            </w:r>
          </w:p>
        </w:tc>
        <w:tc>
          <w:tcPr>
            <w:tcW w:w="3261" w:type="dxa"/>
            <w:tcBorders>
              <w:top w:val="nil"/>
              <w:left w:val="single" w:sz="4" w:space="0" w:color="auto"/>
              <w:bottom w:val="single" w:sz="4" w:space="0" w:color="auto"/>
              <w:right w:val="single" w:sz="4" w:space="0" w:color="auto"/>
            </w:tcBorders>
            <w:shd w:val="clear" w:color="000000" w:fill="FFFFFF"/>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Ferns Castle</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65</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Hook Lighthouse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66</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Irish National Heritage Park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67</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John F. Kennedy Memorial Park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68</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Johnstown Castle Gardens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69</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Kennedy Homestead</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70</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Loftus Hall</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71</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Wells House &amp; Gardens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Wexford</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72</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Kilruddery</w:t>
            </w:r>
            <w:proofErr w:type="spellEnd"/>
            <w:r w:rsidRPr="008A2263">
              <w:rPr>
                <w:rFonts w:ascii="Arial" w:eastAsia="Times New Roman" w:hAnsi="Arial" w:cs="Arial"/>
                <w:sz w:val="20"/>
                <w:szCs w:val="20"/>
                <w:lang w:val="en-IE" w:eastAsia="en-IE"/>
              </w:rPr>
              <w:t xml:space="preserve"> House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Wicklow</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73</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Mount Usher Gardens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Wicklow</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74</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 xml:space="preserve">National Botanic Gardens - </w:t>
            </w:r>
            <w:proofErr w:type="spellStart"/>
            <w:r w:rsidRPr="008A2263">
              <w:rPr>
                <w:rFonts w:ascii="Arial" w:eastAsia="Times New Roman" w:hAnsi="Arial" w:cs="Arial"/>
                <w:sz w:val="20"/>
                <w:szCs w:val="20"/>
                <w:lang w:val="en-IE" w:eastAsia="en-IE"/>
              </w:rPr>
              <w:t>Kilmacurragh</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Wicklow</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Wall</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75</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Powerscourt</w:t>
            </w:r>
            <w:proofErr w:type="spellEnd"/>
            <w:r w:rsidRPr="008A2263">
              <w:rPr>
                <w:rFonts w:ascii="Arial" w:eastAsia="Times New Roman" w:hAnsi="Arial" w:cs="Arial"/>
                <w:sz w:val="20"/>
                <w:szCs w:val="20"/>
                <w:lang w:val="en-IE" w:eastAsia="en-IE"/>
              </w:rPr>
              <w:t xml:space="preserve"> Estate</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Wicklow</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76</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proofErr w:type="spellStart"/>
            <w:r w:rsidRPr="008A2263">
              <w:rPr>
                <w:rFonts w:ascii="Arial" w:eastAsia="Times New Roman" w:hAnsi="Arial" w:cs="Arial"/>
                <w:sz w:val="20"/>
                <w:szCs w:val="20"/>
                <w:lang w:val="en-IE" w:eastAsia="en-IE"/>
              </w:rPr>
              <w:t>Russborough</w:t>
            </w:r>
            <w:proofErr w:type="spellEnd"/>
            <w:r w:rsidRPr="008A2263">
              <w:rPr>
                <w:rFonts w:ascii="Arial" w:eastAsia="Times New Roman" w:hAnsi="Arial" w:cs="Arial"/>
                <w:sz w:val="20"/>
                <w:szCs w:val="20"/>
                <w:lang w:val="en-IE" w:eastAsia="en-IE"/>
              </w:rPr>
              <w:t xml:space="preserve"> House &amp; Parklands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Wicklow</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Medium</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r w:rsidR="00A97478" w:rsidRPr="008A2263" w:rsidTr="00A97478">
        <w:trPr>
          <w:gridAfter w:val="1"/>
          <w:wAfter w:w="742" w:type="dxa"/>
          <w:trHeight w:val="289"/>
        </w:trPr>
        <w:tc>
          <w:tcPr>
            <w:tcW w:w="1149" w:type="dxa"/>
            <w:tcBorders>
              <w:top w:val="nil"/>
              <w:left w:val="single" w:sz="4" w:space="0" w:color="auto"/>
              <w:bottom w:val="single" w:sz="4" w:space="0" w:color="auto"/>
              <w:right w:val="single" w:sz="4" w:space="0" w:color="auto"/>
            </w:tcBorders>
            <w:shd w:val="clear" w:color="000000" w:fill="FFFFFF"/>
          </w:tcPr>
          <w:p w:rsidR="00A97478" w:rsidRPr="008A2263" w:rsidRDefault="00AA396F" w:rsidP="00A97478">
            <w:pPr>
              <w:spacing w:after="0" w:line="240" w:lineRule="auto"/>
              <w:rPr>
                <w:rFonts w:ascii="Arial" w:eastAsia="Times New Roman" w:hAnsi="Arial" w:cs="Arial"/>
                <w:sz w:val="20"/>
                <w:szCs w:val="20"/>
                <w:lang w:val="en-IE" w:eastAsia="en-IE"/>
              </w:rPr>
            </w:pPr>
            <w:r>
              <w:rPr>
                <w:rFonts w:ascii="Arial" w:eastAsia="Times New Roman" w:hAnsi="Arial" w:cs="Arial"/>
                <w:sz w:val="20"/>
                <w:szCs w:val="20"/>
                <w:lang w:val="en-IE" w:eastAsia="en-IE"/>
              </w:rPr>
              <w:t>77</w:t>
            </w:r>
          </w:p>
        </w:tc>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Wicklow's Historic Gaol</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Wicklow</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color w:val="000000"/>
                <w:sz w:val="20"/>
                <w:szCs w:val="20"/>
                <w:lang w:val="en-IE" w:eastAsia="en-IE"/>
              </w:rPr>
            </w:pPr>
            <w:r w:rsidRPr="008A2263">
              <w:rPr>
                <w:rFonts w:ascii="Arial" w:eastAsia="Times New Roman" w:hAnsi="Arial" w:cs="Arial"/>
                <w:color w:val="000000"/>
                <w:sz w:val="20"/>
                <w:szCs w:val="20"/>
                <w:lang w:val="en-IE" w:eastAsia="en-IE"/>
              </w:rPr>
              <w:t>Large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97478" w:rsidRPr="008A2263" w:rsidRDefault="00A97478" w:rsidP="00A97478">
            <w:pPr>
              <w:spacing w:after="0" w:line="240" w:lineRule="auto"/>
              <w:rPr>
                <w:rFonts w:ascii="Arial" w:eastAsia="Times New Roman" w:hAnsi="Arial" w:cs="Arial"/>
                <w:sz w:val="20"/>
                <w:szCs w:val="20"/>
                <w:lang w:val="en-IE" w:eastAsia="en-IE"/>
              </w:rPr>
            </w:pPr>
            <w:r w:rsidRPr="008A2263">
              <w:rPr>
                <w:rFonts w:ascii="Arial" w:eastAsia="Times New Roman" w:hAnsi="Arial" w:cs="Arial"/>
                <w:sz w:val="20"/>
                <w:szCs w:val="20"/>
                <w:lang w:val="en-IE" w:eastAsia="en-IE"/>
              </w:rPr>
              <w:t>LA</w:t>
            </w:r>
          </w:p>
        </w:tc>
        <w:tc>
          <w:tcPr>
            <w:tcW w:w="1239"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22"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236" w:type="dxa"/>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986"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c>
          <w:tcPr>
            <w:tcW w:w="1180" w:type="dxa"/>
            <w:gridSpan w:val="2"/>
            <w:vAlign w:val="center"/>
            <w:hideMark/>
          </w:tcPr>
          <w:p w:rsidR="00A97478" w:rsidRPr="008A2263" w:rsidRDefault="00A97478" w:rsidP="00A97478">
            <w:pPr>
              <w:spacing w:after="0" w:line="240" w:lineRule="auto"/>
              <w:rPr>
                <w:rFonts w:ascii="Arial" w:eastAsia="Times New Roman" w:hAnsi="Arial" w:cs="Arial"/>
                <w:sz w:val="20"/>
                <w:szCs w:val="20"/>
                <w:lang w:val="en-IE" w:eastAsia="en-IE"/>
              </w:rPr>
            </w:pPr>
          </w:p>
        </w:tc>
      </w:tr>
    </w:tbl>
    <w:p w:rsidR="00A97478" w:rsidRPr="008A2263" w:rsidRDefault="00A97478">
      <w:pPr>
        <w:rPr>
          <w:rFonts w:ascii="Arial" w:hAnsi="Arial" w:cs="Arial"/>
          <w:sz w:val="20"/>
          <w:szCs w:val="20"/>
        </w:rPr>
      </w:pPr>
    </w:p>
    <w:sectPr w:rsidR="00A97478" w:rsidRPr="008A2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6F" w:rsidRDefault="00AA396F" w:rsidP="00892F28">
      <w:pPr>
        <w:spacing w:after="0" w:line="240" w:lineRule="auto"/>
      </w:pPr>
      <w:r>
        <w:separator/>
      </w:r>
    </w:p>
  </w:endnote>
  <w:endnote w:type="continuationSeparator" w:id="0">
    <w:p w:rsidR="00AA396F" w:rsidRDefault="00AA396F" w:rsidP="0089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6F" w:rsidRDefault="00AA396F" w:rsidP="00892F28">
      <w:pPr>
        <w:spacing w:after="0" w:line="240" w:lineRule="auto"/>
      </w:pPr>
      <w:r>
        <w:separator/>
      </w:r>
    </w:p>
  </w:footnote>
  <w:footnote w:type="continuationSeparator" w:id="0">
    <w:p w:rsidR="00AA396F" w:rsidRDefault="00AA396F" w:rsidP="00892F28">
      <w:pPr>
        <w:spacing w:after="0" w:line="240" w:lineRule="auto"/>
      </w:pPr>
      <w:r>
        <w:continuationSeparator/>
      </w:r>
    </w:p>
  </w:footnote>
  <w:footnote w:id="1">
    <w:p w:rsidR="00AA396F" w:rsidRPr="002F6EF0" w:rsidRDefault="00AA396F" w:rsidP="0039038B">
      <w:pPr>
        <w:spacing w:after="0"/>
        <w:rPr>
          <w:rFonts w:cs="Tahoma"/>
          <w:sz w:val="16"/>
          <w:szCs w:val="16"/>
        </w:rPr>
      </w:pPr>
      <w:r w:rsidRPr="002F6EF0">
        <w:rPr>
          <w:rStyle w:val="FootnoteReference"/>
          <w:sz w:val="16"/>
          <w:szCs w:val="16"/>
        </w:rPr>
        <w:footnoteRef/>
      </w:r>
      <w:r w:rsidRPr="002F6EF0">
        <w:rPr>
          <w:sz w:val="16"/>
          <w:szCs w:val="16"/>
        </w:rPr>
        <w:t xml:space="preserve"> </w:t>
      </w:r>
      <w:r w:rsidRPr="00D56499">
        <w:rPr>
          <w:rFonts w:cs="Tahoma"/>
          <w:sz w:val="16"/>
          <w:szCs w:val="16"/>
        </w:rPr>
        <w:t xml:space="preserve">The provisions listed under this column are the requirements which the </w:t>
      </w:r>
      <w:r>
        <w:rPr>
          <w:rFonts w:cs="Tahoma"/>
          <w:sz w:val="16"/>
          <w:szCs w:val="16"/>
        </w:rPr>
        <w:t>developers</w:t>
      </w:r>
      <w:r w:rsidRPr="00D56499">
        <w:rPr>
          <w:rFonts w:cs="Tahoma"/>
          <w:sz w:val="16"/>
          <w:szCs w:val="16"/>
        </w:rPr>
        <w:t xml:space="preserve"> will have to comply with in order to get funding.</w:t>
      </w:r>
    </w:p>
  </w:footnote>
  <w:footnote w:id="2">
    <w:p w:rsidR="00AA396F" w:rsidRPr="0000693B" w:rsidRDefault="00AA396F" w:rsidP="0039038B">
      <w:pPr>
        <w:pStyle w:val="FootnoteText"/>
        <w:spacing w:after="0"/>
        <w:rPr>
          <w:sz w:val="16"/>
          <w:szCs w:val="16"/>
        </w:rPr>
      </w:pPr>
      <w:r w:rsidRPr="0000693B">
        <w:rPr>
          <w:rStyle w:val="FootnoteReference"/>
          <w:sz w:val="16"/>
          <w:szCs w:val="16"/>
        </w:rPr>
        <w:footnoteRef/>
      </w:r>
      <w:r w:rsidRPr="0000693B">
        <w:rPr>
          <w:sz w:val="16"/>
          <w:szCs w:val="16"/>
        </w:rPr>
        <w:t xml:space="preserve"> Including Annex I habitats, Annex II species and their habitats and Annex IV species and their breeding sites and resting places (wherever they occur). Note that the NPWS provide sensitive areas mapping for Freshwater Pearl Mussels which are listed under Annex II of the Directive.</w:t>
      </w:r>
    </w:p>
  </w:footnote>
  <w:footnote w:id="3">
    <w:p w:rsidR="00AA396F" w:rsidRPr="0000693B" w:rsidRDefault="00AA396F" w:rsidP="0039038B">
      <w:pPr>
        <w:pStyle w:val="FootnoteText"/>
        <w:spacing w:after="0"/>
        <w:rPr>
          <w:sz w:val="16"/>
          <w:szCs w:val="16"/>
        </w:rPr>
      </w:pPr>
      <w:r w:rsidRPr="0000693B">
        <w:rPr>
          <w:rStyle w:val="FootnoteReference"/>
          <w:sz w:val="16"/>
          <w:szCs w:val="16"/>
        </w:rPr>
        <w:footnoteRef/>
      </w:r>
      <w:r w:rsidRPr="0000693B">
        <w:rPr>
          <w:sz w:val="16"/>
          <w:szCs w:val="16"/>
        </w:rPr>
        <w:t xml:space="preserve"> Including Annex I species and other regularly </w:t>
      </w:r>
      <w:proofErr w:type="gramStart"/>
      <w:r w:rsidRPr="0000693B">
        <w:rPr>
          <w:sz w:val="16"/>
          <w:szCs w:val="16"/>
        </w:rPr>
        <w:t>occurring</w:t>
      </w:r>
      <w:proofErr w:type="gramEnd"/>
      <w:r w:rsidRPr="0000693B">
        <w:rPr>
          <w:sz w:val="16"/>
          <w:szCs w:val="16"/>
        </w:rPr>
        <w:t xml:space="preserve"> migratory species, and their habitats (wherever they occur)</w:t>
      </w:r>
      <w:r>
        <w:rPr>
          <w:sz w:val="16"/>
          <w:szCs w:val="16"/>
        </w:rPr>
        <w:t>.</w:t>
      </w:r>
    </w:p>
  </w:footnote>
  <w:footnote w:id="4">
    <w:p w:rsidR="00AA396F" w:rsidRPr="0000693B" w:rsidRDefault="00AA396F" w:rsidP="0039038B">
      <w:pPr>
        <w:pStyle w:val="FootnoteText"/>
        <w:spacing w:after="0"/>
        <w:rPr>
          <w:sz w:val="16"/>
          <w:szCs w:val="16"/>
        </w:rPr>
      </w:pPr>
      <w:r w:rsidRPr="0000693B">
        <w:rPr>
          <w:rStyle w:val="FootnoteReference"/>
          <w:sz w:val="16"/>
          <w:szCs w:val="16"/>
        </w:rPr>
        <w:footnoteRef/>
      </w:r>
      <w:r w:rsidRPr="0000693B">
        <w:rPr>
          <w:sz w:val="16"/>
          <w:szCs w:val="16"/>
        </w:rPr>
        <w:t xml:space="preserve"> </w:t>
      </w:r>
      <w:proofErr w:type="gramStart"/>
      <w:r w:rsidRPr="0000693B">
        <w:rPr>
          <w:sz w:val="16"/>
          <w:szCs w:val="16"/>
        </w:rPr>
        <w:t>Including protected species and natural habitats.</w:t>
      </w:r>
      <w:proofErr w:type="gramEnd"/>
    </w:p>
  </w:footnote>
  <w:footnote w:id="5">
    <w:p w:rsidR="00AA396F" w:rsidRPr="0000693B" w:rsidRDefault="00AA396F" w:rsidP="0039038B">
      <w:pPr>
        <w:pStyle w:val="FootnoteText"/>
        <w:spacing w:after="0"/>
        <w:rPr>
          <w:sz w:val="16"/>
          <w:szCs w:val="16"/>
        </w:rPr>
      </w:pPr>
      <w:r w:rsidRPr="0000693B">
        <w:rPr>
          <w:rStyle w:val="FootnoteReference"/>
          <w:sz w:val="16"/>
          <w:szCs w:val="16"/>
        </w:rPr>
        <w:footnoteRef/>
      </w:r>
      <w:r w:rsidRPr="0000693B">
        <w:rPr>
          <w:sz w:val="16"/>
          <w:szCs w:val="16"/>
        </w:rPr>
        <w:t xml:space="preserve"> </w:t>
      </w:r>
      <w:proofErr w:type="gramStart"/>
      <w:r w:rsidRPr="0000693B">
        <w:rPr>
          <w:sz w:val="16"/>
          <w:szCs w:val="16"/>
        </w:rPr>
        <w:t>Including species of flora and fauna and their key habitats.</w:t>
      </w:r>
      <w:proofErr w:type="gramEnd"/>
      <w:r w:rsidRPr="0000693B">
        <w:rPr>
          <w:sz w:val="16"/>
          <w:szCs w:val="16"/>
        </w:rPr>
        <w:t xml:space="preserve">  </w:t>
      </w:r>
    </w:p>
  </w:footnote>
  <w:footnote w:id="6">
    <w:p w:rsidR="00AA396F" w:rsidRPr="0000693B" w:rsidRDefault="00AA396F" w:rsidP="0039038B">
      <w:pPr>
        <w:pStyle w:val="FootnoteText"/>
        <w:spacing w:after="0"/>
        <w:rPr>
          <w:sz w:val="16"/>
          <w:szCs w:val="16"/>
        </w:rPr>
      </w:pPr>
      <w:r w:rsidRPr="0000693B">
        <w:rPr>
          <w:rStyle w:val="FootnoteReference"/>
          <w:sz w:val="16"/>
          <w:szCs w:val="16"/>
        </w:rPr>
        <w:footnoteRef/>
      </w:r>
      <w:r w:rsidRPr="0000693B">
        <w:rPr>
          <w:sz w:val="16"/>
          <w:szCs w:val="16"/>
        </w:rPr>
        <w:t xml:space="preserve"> </w:t>
      </w:r>
      <w:proofErr w:type="gramStart"/>
      <w:r w:rsidRPr="0000693B">
        <w:rPr>
          <w:sz w:val="16"/>
          <w:szCs w:val="16"/>
        </w:rPr>
        <w:t>Including protecte</w:t>
      </w:r>
      <w:r>
        <w:rPr>
          <w:sz w:val="16"/>
          <w:szCs w:val="16"/>
        </w:rPr>
        <w:t>d species and natural habitats.</w:t>
      </w:r>
      <w:proofErr w:type="gramEnd"/>
    </w:p>
  </w:footnote>
  <w:footnote w:id="7">
    <w:p w:rsidR="00AA396F" w:rsidRPr="003D4125" w:rsidRDefault="00AA396F" w:rsidP="0039038B">
      <w:pPr>
        <w:pStyle w:val="FootnoteText"/>
        <w:spacing w:after="0"/>
        <w:rPr>
          <w:sz w:val="16"/>
          <w:szCs w:val="16"/>
        </w:rPr>
      </w:pPr>
      <w:r w:rsidRPr="003D4125">
        <w:rPr>
          <w:rStyle w:val="FootnoteReference"/>
          <w:sz w:val="16"/>
          <w:szCs w:val="16"/>
        </w:rPr>
        <w:footnoteRef/>
      </w:r>
      <w:r w:rsidRPr="003D4125">
        <w:rPr>
          <w:sz w:val="16"/>
          <w:szCs w:val="16"/>
        </w:rPr>
        <w:t xml:space="preserve"> </w:t>
      </w:r>
      <w:r w:rsidRPr="003D4125">
        <w:rPr>
          <w:i/>
          <w:iCs/>
          <w:sz w:val="16"/>
          <w:szCs w:val="16"/>
        </w:rPr>
        <w:t>As per Part I, Section 4 (4) of the Planning Act 2000 as amended states that [Notwithstanding paragraphs (a), (</w:t>
      </w:r>
      <w:proofErr w:type="spellStart"/>
      <w:r w:rsidRPr="003D4125">
        <w:rPr>
          <w:i/>
          <w:iCs/>
          <w:sz w:val="16"/>
          <w:szCs w:val="16"/>
        </w:rPr>
        <w:t>i</w:t>
      </w:r>
      <w:proofErr w:type="spellEnd"/>
      <w:r w:rsidRPr="003D4125">
        <w:rPr>
          <w:i/>
          <w:iCs/>
          <w:sz w:val="16"/>
          <w:szCs w:val="16"/>
        </w:rPr>
        <w:t>), (</w:t>
      </w:r>
      <w:proofErr w:type="spellStart"/>
      <w:proofErr w:type="gramStart"/>
      <w:r w:rsidRPr="003D4125">
        <w:rPr>
          <w:i/>
          <w:iCs/>
          <w:sz w:val="16"/>
          <w:szCs w:val="16"/>
        </w:rPr>
        <w:t>ia</w:t>
      </w:r>
      <w:proofErr w:type="spellEnd"/>
      <w:proofErr w:type="gramEnd"/>
      <w:r w:rsidRPr="003D4125">
        <w:rPr>
          <w:i/>
          <w:iCs/>
          <w:sz w:val="16"/>
          <w:szCs w:val="16"/>
        </w:rPr>
        <w:t>) and (l) of subsection (1) and any regulations under subsection (2)]: development shall not be exempted development if an environmental impact assessment or an appropriate assessment of the development is required.</w:t>
      </w:r>
    </w:p>
  </w:footnote>
  <w:footnote w:id="8">
    <w:p w:rsidR="00AA396F" w:rsidRPr="00FA761A" w:rsidRDefault="00AA396F" w:rsidP="0039038B">
      <w:pPr>
        <w:spacing w:after="0"/>
        <w:rPr>
          <w:rFonts w:cs="Tahoma"/>
          <w:sz w:val="16"/>
          <w:szCs w:val="16"/>
        </w:rPr>
      </w:pPr>
      <w:r w:rsidRPr="0000693B">
        <w:rPr>
          <w:rStyle w:val="FootnoteReference"/>
          <w:sz w:val="16"/>
          <w:szCs w:val="16"/>
        </w:rPr>
        <w:footnoteRef/>
      </w:r>
      <w:r w:rsidRPr="0000693B">
        <w:rPr>
          <w:sz w:val="16"/>
          <w:szCs w:val="16"/>
        </w:rPr>
        <w:t xml:space="preserve"> </w:t>
      </w:r>
      <w:proofErr w:type="gramStart"/>
      <w:r w:rsidRPr="0000693B">
        <w:rPr>
          <w:rFonts w:cs="Tahoma"/>
          <w:sz w:val="16"/>
          <w:szCs w:val="16"/>
        </w:rPr>
        <w:t>Except as provided for in Section 6(4) of the Habitats Directive, viz.</w:t>
      </w:r>
      <w:proofErr w:type="gramEnd"/>
      <w:r w:rsidRPr="0000693B">
        <w:rPr>
          <w:rFonts w:cs="Tahoma"/>
          <w:sz w:val="16"/>
          <w:szCs w:val="16"/>
        </w:rPr>
        <w:t xml:space="preserve"> There</w:t>
      </w:r>
      <w:r w:rsidRPr="00FA761A">
        <w:rPr>
          <w:rFonts w:cs="Tahoma"/>
          <w:sz w:val="16"/>
          <w:szCs w:val="16"/>
        </w:rPr>
        <w:t xml:space="preserve"> must be: </w:t>
      </w:r>
    </w:p>
    <w:p w:rsidR="00AA396F" w:rsidRPr="00FA761A" w:rsidRDefault="00AA396F" w:rsidP="0039038B">
      <w:pPr>
        <w:spacing w:after="0"/>
        <w:rPr>
          <w:rFonts w:cs="Tahoma"/>
          <w:sz w:val="16"/>
          <w:szCs w:val="16"/>
        </w:rPr>
      </w:pPr>
      <w:r w:rsidRPr="00FA761A">
        <w:rPr>
          <w:rFonts w:cs="Tahoma"/>
          <w:sz w:val="16"/>
          <w:szCs w:val="16"/>
        </w:rPr>
        <w:t xml:space="preserve">a) no alternative solution available, </w:t>
      </w:r>
    </w:p>
    <w:p w:rsidR="00AA396F" w:rsidRPr="00FA761A" w:rsidRDefault="00AA396F" w:rsidP="0039038B">
      <w:pPr>
        <w:spacing w:after="0"/>
        <w:rPr>
          <w:rFonts w:cs="Tahoma"/>
          <w:sz w:val="16"/>
          <w:szCs w:val="16"/>
        </w:rPr>
      </w:pPr>
      <w:r w:rsidRPr="00FA761A">
        <w:rPr>
          <w:rFonts w:cs="Tahoma"/>
          <w:sz w:val="16"/>
          <w:szCs w:val="16"/>
        </w:rPr>
        <w:t xml:space="preserve">b) imperative reasons of overriding public interest for the </w:t>
      </w:r>
      <w:r>
        <w:rPr>
          <w:rFonts w:cs="Tahoma"/>
          <w:sz w:val="16"/>
          <w:szCs w:val="16"/>
        </w:rPr>
        <w:t>project</w:t>
      </w:r>
      <w:r w:rsidRPr="00FA761A">
        <w:rPr>
          <w:rFonts w:cs="Tahoma"/>
          <w:sz w:val="16"/>
          <w:szCs w:val="16"/>
        </w:rPr>
        <w:t xml:space="preserve"> to proceed; and </w:t>
      </w:r>
    </w:p>
    <w:p w:rsidR="00AA396F" w:rsidRPr="002A67B9" w:rsidRDefault="00AA396F" w:rsidP="0039038B">
      <w:pPr>
        <w:spacing w:after="0"/>
        <w:rPr>
          <w:rFonts w:cs="Tahoma"/>
          <w:sz w:val="18"/>
          <w:szCs w:val="18"/>
        </w:rPr>
      </w:pPr>
      <w:r w:rsidRPr="00FA761A">
        <w:rPr>
          <w:rFonts w:cs="Tahoma"/>
          <w:sz w:val="16"/>
          <w:szCs w:val="16"/>
        </w:rPr>
        <w:t>c) Adequate compensatory measures in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513"/>
    <w:multiLevelType w:val="hybridMultilevel"/>
    <w:tmpl w:val="12CEE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2915D2"/>
    <w:multiLevelType w:val="hybridMultilevel"/>
    <w:tmpl w:val="BF98D52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0993BEB"/>
    <w:multiLevelType w:val="hybridMultilevel"/>
    <w:tmpl w:val="B39ACF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530A90"/>
    <w:multiLevelType w:val="hybridMultilevel"/>
    <w:tmpl w:val="631A38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54F5461"/>
    <w:multiLevelType w:val="multilevel"/>
    <w:tmpl w:val="10EEDA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70A3422"/>
    <w:multiLevelType w:val="hybridMultilevel"/>
    <w:tmpl w:val="ADF8710E"/>
    <w:lvl w:ilvl="0" w:tplc="1A1AC3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3E2746"/>
    <w:multiLevelType w:val="hybridMultilevel"/>
    <w:tmpl w:val="474EFD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96004B"/>
    <w:multiLevelType w:val="hybridMultilevel"/>
    <w:tmpl w:val="E79A83C0"/>
    <w:lvl w:ilvl="0" w:tplc="5096F638">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460B51D3"/>
    <w:multiLevelType w:val="hybridMultilevel"/>
    <w:tmpl w:val="FFCC0282"/>
    <w:lvl w:ilvl="0" w:tplc="D7C2E26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73267B7"/>
    <w:multiLevelType w:val="hybridMultilevel"/>
    <w:tmpl w:val="6F50EE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B0917C1"/>
    <w:multiLevelType w:val="hybridMultilevel"/>
    <w:tmpl w:val="1ECE3D5C"/>
    <w:lvl w:ilvl="0" w:tplc="1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1"/>
  </w:num>
  <w:num w:numId="6">
    <w:abstractNumId w:val="6"/>
  </w:num>
  <w:num w:numId="7">
    <w:abstractNumId w:val="10"/>
  </w:num>
  <w:num w:numId="8">
    <w:abstractNumId w:val="5"/>
  </w:num>
  <w:num w:numId="9">
    <w:abstractNumId w:val="9"/>
  </w:num>
  <w:num w:numId="10">
    <w:abstractNumId w:val="7"/>
  </w:num>
  <w:num w:numId="11">
    <w:abstractNumId w:val="0"/>
  </w:num>
  <w:num w:numId="12">
    <w:abstractNumId w:val="3"/>
  </w:num>
  <w:num w:numId="13">
    <w:abstractNumId w:val="7"/>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F8"/>
    <w:rsid w:val="00035577"/>
    <w:rsid w:val="001E7254"/>
    <w:rsid w:val="0039038B"/>
    <w:rsid w:val="0050478C"/>
    <w:rsid w:val="005052D6"/>
    <w:rsid w:val="005877E3"/>
    <w:rsid w:val="005A68AF"/>
    <w:rsid w:val="007C710D"/>
    <w:rsid w:val="0080335D"/>
    <w:rsid w:val="00892F28"/>
    <w:rsid w:val="008A2263"/>
    <w:rsid w:val="008E47CF"/>
    <w:rsid w:val="00A97478"/>
    <w:rsid w:val="00AA396F"/>
    <w:rsid w:val="00B32A6A"/>
    <w:rsid w:val="00B9010B"/>
    <w:rsid w:val="00BC1F9B"/>
    <w:rsid w:val="00C64505"/>
    <w:rsid w:val="00CC38F8"/>
    <w:rsid w:val="00CD74B9"/>
    <w:rsid w:val="00E32381"/>
    <w:rsid w:val="00E756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38F8"/>
    <w:pPr>
      <w:ind w:left="720"/>
      <w:contextualSpacing/>
    </w:pPr>
  </w:style>
  <w:style w:type="character" w:customStyle="1" w:styleId="ListParagraphChar">
    <w:name w:val="List Paragraph Char"/>
    <w:basedOn w:val="DefaultParagraphFont"/>
    <w:link w:val="ListParagraph"/>
    <w:uiPriority w:val="34"/>
    <w:rsid w:val="00A97478"/>
    <w:rPr>
      <w:lang w:val="en-GB"/>
    </w:rPr>
  </w:style>
  <w:style w:type="paragraph" w:styleId="EndnoteText">
    <w:name w:val="endnote text"/>
    <w:basedOn w:val="Normal"/>
    <w:link w:val="EndnoteTextChar"/>
    <w:uiPriority w:val="99"/>
    <w:semiHidden/>
    <w:unhideWhenUsed/>
    <w:rsid w:val="00892F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F28"/>
    <w:rPr>
      <w:sz w:val="20"/>
      <w:szCs w:val="20"/>
      <w:lang w:val="en-GB"/>
    </w:rPr>
  </w:style>
  <w:style w:type="character" w:styleId="EndnoteReference">
    <w:name w:val="endnote reference"/>
    <w:basedOn w:val="DefaultParagraphFont"/>
    <w:uiPriority w:val="99"/>
    <w:semiHidden/>
    <w:unhideWhenUsed/>
    <w:rsid w:val="00892F28"/>
    <w:rPr>
      <w:vertAlign w:val="superscript"/>
    </w:rPr>
  </w:style>
  <w:style w:type="paragraph" w:styleId="BalloonText">
    <w:name w:val="Balloon Text"/>
    <w:basedOn w:val="Normal"/>
    <w:link w:val="BalloonTextChar"/>
    <w:uiPriority w:val="99"/>
    <w:semiHidden/>
    <w:unhideWhenUsed/>
    <w:rsid w:val="00C6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05"/>
    <w:rPr>
      <w:rFonts w:ascii="Tahoma" w:hAnsi="Tahoma" w:cs="Tahoma"/>
      <w:sz w:val="16"/>
      <w:szCs w:val="16"/>
      <w:lang w:val="en-GB"/>
    </w:rPr>
  </w:style>
  <w:style w:type="paragraph" w:customStyle="1" w:styleId="font5">
    <w:name w:val="font5"/>
    <w:basedOn w:val="Normal"/>
    <w:rsid w:val="00A97478"/>
    <w:pPr>
      <w:spacing w:before="100" w:beforeAutospacing="1" w:after="100" w:afterAutospacing="1" w:line="240" w:lineRule="auto"/>
    </w:pPr>
    <w:rPr>
      <w:rFonts w:ascii="Calibri" w:eastAsia="Times New Roman" w:hAnsi="Calibri" w:cs="Times New Roman"/>
      <w:color w:val="545454"/>
      <w:sz w:val="20"/>
      <w:szCs w:val="20"/>
      <w:lang w:val="en-IE" w:eastAsia="en-IE"/>
    </w:rPr>
  </w:style>
  <w:style w:type="paragraph" w:customStyle="1" w:styleId="font6">
    <w:name w:val="font6"/>
    <w:basedOn w:val="Normal"/>
    <w:rsid w:val="00A97478"/>
    <w:pPr>
      <w:spacing w:before="100" w:beforeAutospacing="1" w:after="100" w:afterAutospacing="1" w:line="240" w:lineRule="auto"/>
    </w:pPr>
    <w:rPr>
      <w:rFonts w:ascii="Calibri" w:eastAsia="Times New Roman" w:hAnsi="Calibri" w:cs="Times New Roman"/>
      <w:b/>
      <w:bCs/>
      <w:color w:val="545454"/>
      <w:sz w:val="20"/>
      <w:szCs w:val="20"/>
      <w:lang w:val="en-IE" w:eastAsia="en-IE"/>
    </w:rPr>
  </w:style>
  <w:style w:type="paragraph" w:customStyle="1" w:styleId="xl67">
    <w:name w:val="xl67"/>
    <w:basedOn w:val="Normal"/>
    <w:rsid w:val="00A9747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8">
    <w:name w:val="xl6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9">
    <w:name w:val="xl6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IE" w:eastAsia="en-IE"/>
    </w:rPr>
  </w:style>
  <w:style w:type="paragraph" w:customStyle="1" w:styleId="xl70">
    <w:name w:val="xl70"/>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IE" w:eastAsia="en-IE"/>
    </w:rPr>
  </w:style>
  <w:style w:type="paragraph" w:customStyle="1" w:styleId="xl71">
    <w:name w:val="xl71"/>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2">
    <w:name w:val="xl72"/>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3">
    <w:name w:val="xl73"/>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4">
    <w:name w:val="xl74"/>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IE" w:eastAsia="en-IE"/>
    </w:rPr>
  </w:style>
  <w:style w:type="paragraph" w:customStyle="1" w:styleId="xl75">
    <w:name w:val="xl75"/>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6">
    <w:name w:val="xl76"/>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7">
    <w:name w:val="xl77"/>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0"/>
      <w:szCs w:val="20"/>
      <w:u w:val="single"/>
      <w:lang w:val="en-IE" w:eastAsia="en-IE"/>
    </w:rPr>
  </w:style>
  <w:style w:type="paragraph" w:customStyle="1" w:styleId="xl78">
    <w:name w:val="xl7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9">
    <w:name w:val="xl7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0">
    <w:name w:val="xl80"/>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1">
    <w:name w:val="xl81"/>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2">
    <w:name w:val="xl82"/>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3">
    <w:name w:val="xl83"/>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4">
    <w:name w:val="xl84"/>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u w:val="single"/>
      <w:lang w:val="en-IE" w:eastAsia="en-IE"/>
    </w:rPr>
  </w:style>
  <w:style w:type="paragraph" w:customStyle="1" w:styleId="xl85">
    <w:name w:val="xl85"/>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en-IE" w:eastAsia="en-IE"/>
    </w:rPr>
  </w:style>
  <w:style w:type="paragraph" w:customStyle="1" w:styleId="xl86">
    <w:name w:val="xl86"/>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7">
    <w:name w:val="xl87"/>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8">
    <w:name w:val="xl8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9">
    <w:name w:val="xl8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0">
    <w:name w:val="xl90"/>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1">
    <w:name w:val="xl91"/>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2">
    <w:name w:val="xl92"/>
    <w:basedOn w:val="Normal"/>
    <w:rsid w:val="00A974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3">
    <w:name w:val="xl93"/>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4">
    <w:name w:val="xl94"/>
    <w:basedOn w:val="Normal"/>
    <w:rsid w:val="00A974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5">
    <w:name w:val="xl95"/>
    <w:basedOn w:val="Normal"/>
    <w:rsid w:val="00A974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6">
    <w:name w:val="xl96"/>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7">
    <w:name w:val="xl97"/>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8">
    <w:name w:val="xl98"/>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9">
    <w:name w:val="xl99"/>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0">
    <w:name w:val="xl100"/>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val="en-IE" w:eastAsia="en-IE"/>
    </w:rPr>
  </w:style>
  <w:style w:type="paragraph" w:customStyle="1" w:styleId="xl101">
    <w:name w:val="xl101"/>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2">
    <w:name w:val="xl102"/>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3">
    <w:name w:val="xl103"/>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4">
    <w:name w:val="xl104"/>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5">
    <w:name w:val="xl105"/>
    <w:basedOn w:val="Normal"/>
    <w:rsid w:val="00A97478"/>
    <w:pPr>
      <w:spacing w:before="100" w:beforeAutospacing="1" w:after="100" w:afterAutospacing="1" w:line="240" w:lineRule="auto"/>
    </w:pPr>
    <w:rPr>
      <w:rFonts w:ascii="Times New Roman" w:eastAsia="Times New Roman" w:hAnsi="Times New Roman" w:cs="Times New Roman"/>
      <w:color w:val="0000FF"/>
      <w:sz w:val="24"/>
      <w:szCs w:val="24"/>
      <w:u w:val="single"/>
      <w:lang w:val="en-IE" w:eastAsia="en-IE"/>
    </w:rPr>
  </w:style>
  <w:style w:type="paragraph" w:customStyle="1" w:styleId="xl106">
    <w:name w:val="xl106"/>
    <w:basedOn w:val="Normal"/>
    <w:rsid w:val="00A97478"/>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en-IE" w:eastAsia="en-IE"/>
    </w:rPr>
  </w:style>
  <w:style w:type="paragraph" w:customStyle="1" w:styleId="xl107">
    <w:name w:val="xl107"/>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lang w:val="en-IE" w:eastAsia="en-IE"/>
    </w:rPr>
  </w:style>
  <w:style w:type="paragraph" w:customStyle="1" w:styleId="xl108">
    <w:name w:val="xl10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val="en-IE" w:eastAsia="en-IE"/>
    </w:rPr>
  </w:style>
  <w:style w:type="paragraph" w:customStyle="1" w:styleId="xl109">
    <w:name w:val="xl10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10">
    <w:name w:val="xl110"/>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val="en-IE" w:eastAsia="en-IE"/>
    </w:rPr>
  </w:style>
  <w:style w:type="paragraph" w:customStyle="1" w:styleId="xl111">
    <w:name w:val="xl111"/>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val="en-IE" w:eastAsia="en-IE"/>
    </w:rPr>
  </w:style>
  <w:style w:type="paragraph" w:customStyle="1" w:styleId="xl112">
    <w:name w:val="xl112"/>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en-IE" w:eastAsia="en-IE"/>
    </w:rPr>
  </w:style>
  <w:style w:type="paragraph" w:customStyle="1" w:styleId="xl113">
    <w:name w:val="xl113"/>
    <w:basedOn w:val="Normal"/>
    <w:rsid w:val="00A97478"/>
    <w:pPr>
      <w:spacing w:before="100" w:beforeAutospacing="1" w:after="100" w:afterAutospacing="1" w:line="240" w:lineRule="auto"/>
    </w:pPr>
    <w:rPr>
      <w:rFonts w:ascii="Times New Roman" w:eastAsia="Times New Roman" w:hAnsi="Times New Roman" w:cs="Times New Roman"/>
      <w:color w:val="545454"/>
      <w:sz w:val="20"/>
      <w:szCs w:val="20"/>
      <w:lang w:val="en-IE" w:eastAsia="en-IE"/>
    </w:rPr>
  </w:style>
  <w:style w:type="paragraph" w:customStyle="1" w:styleId="xl114">
    <w:name w:val="xl114"/>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15">
    <w:name w:val="xl115"/>
    <w:basedOn w:val="Normal"/>
    <w:rsid w:val="00A97478"/>
    <w:pPr>
      <w:spacing w:before="100" w:beforeAutospacing="1" w:after="100" w:afterAutospacing="1" w:line="240" w:lineRule="auto"/>
    </w:pPr>
    <w:rPr>
      <w:rFonts w:ascii="Times New Roman" w:eastAsia="Times New Roman" w:hAnsi="Times New Roman" w:cs="Times New Roman"/>
      <w:color w:val="000000"/>
      <w:sz w:val="20"/>
      <w:szCs w:val="20"/>
      <w:lang w:val="en-IE" w:eastAsia="en-IE"/>
    </w:rPr>
  </w:style>
  <w:style w:type="paragraph" w:customStyle="1" w:styleId="xl116">
    <w:name w:val="xl116"/>
    <w:basedOn w:val="Normal"/>
    <w:rsid w:val="00A97478"/>
    <w:pPr>
      <w:spacing w:before="100" w:beforeAutospacing="1" w:after="100" w:afterAutospacing="1" w:line="240" w:lineRule="auto"/>
    </w:pPr>
    <w:rPr>
      <w:rFonts w:ascii="Times New Roman" w:eastAsia="Times New Roman" w:hAnsi="Times New Roman" w:cs="Times New Roman"/>
      <w:color w:val="0000FF"/>
      <w:sz w:val="20"/>
      <w:szCs w:val="20"/>
      <w:u w:val="single"/>
      <w:lang w:val="en-IE" w:eastAsia="en-IE"/>
    </w:rPr>
  </w:style>
  <w:style w:type="paragraph" w:customStyle="1" w:styleId="xl117">
    <w:name w:val="xl117"/>
    <w:basedOn w:val="Normal"/>
    <w:rsid w:val="00A974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18">
    <w:name w:val="xl11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IE" w:eastAsia="en-IE"/>
    </w:rPr>
  </w:style>
  <w:style w:type="paragraph" w:customStyle="1" w:styleId="xl119">
    <w:name w:val="xl119"/>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20">
    <w:name w:val="xl120"/>
    <w:basedOn w:val="Normal"/>
    <w:rsid w:val="00A974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1">
    <w:name w:val="xl121"/>
    <w:basedOn w:val="Normal"/>
    <w:rsid w:val="00A9747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2">
    <w:name w:val="xl122"/>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E" w:eastAsia="en-IE"/>
    </w:rPr>
  </w:style>
  <w:style w:type="paragraph" w:customStyle="1" w:styleId="xl123">
    <w:name w:val="xl123"/>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24">
    <w:name w:val="xl124"/>
    <w:basedOn w:val="Normal"/>
    <w:rsid w:val="00A97478"/>
    <w:pPr>
      <w:spacing w:before="100" w:beforeAutospacing="1" w:after="100" w:afterAutospacing="1" w:line="240" w:lineRule="auto"/>
    </w:pPr>
    <w:rPr>
      <w:rFonts w:ascii="Times New Roman" w:eastAsia="Times New Roman" w:hAnsi="Times New Roman" w:cs="Times New Roman"/>
      <w:b/>
      <w:bCs/>
      <w:sz w:val="24"/>
      <w:szCs w:val="24"/>
      <w:lang w:val="en-IE" w:eastAsia="en-IE"/>
    </w:rPr>
  </w:style>
  <w:style w:type="paragraph" w:customStyle="1" w:styleId="xl125">
    <w:name w:val="xl125"/>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IE" w:eastAsia="en-IE"/>
    </w:rPr>
  </w:style>
  <w:style w:type="paragraph" w:customStyle="1" w:styleId="xl126">
    <w:name w:val="xl126"/>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7">
    <w:name w:val="xl127"/>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28">
    <w:name w:val="xl128"/>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9">
    <w:name w:val="xl129"/>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0">
    <w:name w:val="xl130"/>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1">
    <w:name w:val="xl131"/>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en-IE" w:eastAsia="en-IE"/>
    </w:rPr>
  </w:style>
  <w:style w:type="paragraph" w:customStyle="1" w:styleId="xl132">
    <w:name w:val="xl132"/>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3">
    <w:name w:val="xl133"/>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4">
    <w:name w:val="xl134"/>
    <w:basedOn w:val="Normal"/>
    <w:rsid w:val="00A9747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en-IE" w:eastAsia="en-IE"/>
    </w:rPr>
  </w:style>
  <w:style w:type="paragraph" w:customStyle="1" w:styleId="xl135">
    <w:name w:val="xl135"/>
    <w:basedOn w:val="Normal"/>
    <w:rsid w:val="00A9747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6">
    <w:name w:val="xl136"/>
    <w:basedOn w:val="Normal"/>
    <w:rsid w:val="00A974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7">
    <w:name w:val="xl137"/>
    <w:basedOn w:val="Normal"/>
    <w:rsid w:val="00A9747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8">
    <w:name w:val="xl138"/>
    <w:basedOn w:val="Normal"/>
    <w:rsid w:val="00A974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39">
    <w:name w:val="xl139"/>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color w:val="0000FF"/>
      <w:sz w:val="20"/>
      <w:szCs w:val="20"/>
      <w:lang w:val="en-IE" w:eastAsia="en-IE"/>
    </w:rPr>
  </w:style>
  <w:style w:type="paragraph" w:customStyle="1" w:styleId="xl140">
    <w:name w:val="xl140"/>
    <w:basedOn w:val="Normal"/>
    <w:rsid w:val="00A97478"/>
    <w:pPr>
      <w:spacing w:before="100" w:beforeAutospacing="1" w:after="100" w:afterAutospacing="1" w:line="240" w:lineRule="auto"/>
    </w:pPr>
    <w:rPr>
      <w:rFonts w:ascii="Times New Roman" w:eastAsia="Times New Roman" w:hAnsi="Times New Roman" w:cs="Times New Roman"/>
      <w:color w:val="0000FF"/>
      <w:sz w:val="20"/>
      <w:szCs w:val="20"/>
      <w:lang w:val="en-IE" w:eastAsia="en-IE"/>
    </w:rPr>
  </w:style>
  <w:style w:type="paragraph" w:customStyle="1" w:styleId="xl141">
    <w:name w:val="xl141"/>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42">
    <w:name w:val="xl142"/>
    <w:basedOn w:val="Normal"/>
    <w:rsid w:val="00A9747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FootnoteText">
    <w:name w:val="footnote text"/>
    <w:aliases w:val="Schriftart: 9 pt,Schriftart: 10 pt,Schriftart: 8 pt,o,F-t"/>
    <w:basedOn w:val="Normal"/>
    <w:link w:val="FootnoteTextChar"/>
    <w:uiPriority w:val="99"/>
    <w:rsid w:val="00A97478"/>
    <w:pPr>
      <w:spacing w:after="120" w:line="240" w:lineRule="auto"/>
      <w:jc w:val="both"/>
    </w:pPr>
    <w:rPr>
      <w:rFonts w:ascii="Tahoma" w:eastAsia="Times New Roman" w:hAnsi="Tahoma" w:cs="Times New Roman"/>
      <w:sz w:val="18"/>
      <w:szCs w:val="20"/>
      <w:lang w:val="en-IE"/>
    </w:rPr>
  </w:style>
  <w:style w:type="character" w:customStyle="1" w:styleId="FootnoteTextChar">
    <w:name w:val="Footnote Text Char"/>
    <w:aliases w:val="Schriftart: 9 pt Char,Schriftart: 10 pt Char,Schriftart: 8 pt Char,o Char,F-t Char"/>
    <w:basedOn w:val="DefaultParagraphFont"/>
    <w:link w:val="FootnoteText"/>
    <w:uiPriority w:val="99"/>
    <w:rsid w:val="00A97478"/>
    <w:rPr>
      <w:rFonts w:ascii="Tahoma" w:eastAsia="Times New Roman" w:hAnsi="Tahoma" w:cs="Times New Roman"/>
      <w:sz w:val="18"/>
      <w:szCs w:val="20"/>
    </w:rPr>
  </w:style>
  <w:style w:type="character" w:styleId="FootnoteReference">
    <w:name w:val="footnote reference"/>
    <w:aliases w:val="stylish"/>
    <w:uiPriority w:val="99"/>
    <w:rsid w:val="00A97478"/>
    <w:rPr>
      <w:rFonts w:ascii="Tahoma" w:hAnsi="Tahoma"/>
      <w:vertAlign w:val="superscript"/>
    </w:rPr>
  </w:style>
  <w:style w:type="paragraph" w:styleId="Caption">
    <w:name w:val="caption"/>
    <w:basedOn w:val="Normal"/>
    <w:next w:val="Normal"/>
    <w:qFormat/>
    <w:rsid w:val="00A97478"/>
    <w:pPr>
      <w:spacing w:after="120" w:line="240" w:lineRule="auto"/>
      <w:jc w:val="both"/>
    </w:pPr>
    <w:rPr>
      <w:rFonts w:ascii="Tahoma" w:eastAsia="Times New Roman" w:hAnsi="Tahoma" w:cs="Times New Roman"/>
      <w:b/>
      <w:bCs/>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38F8"/>
    <w:pPr>
      <w:ind w:left="720"/>
      <w:contextualSpacing/>
    </w:pPr>
  </w:style>
  <w:style w:type="character" w:customStyle="1" w:styleId="ListParagraphChar">
    <w:name w:val="List Paragraph Char"/>
    <w:basedOn w:val="DefaultParagraphFont"/>
    <w:link w:val="ListParagraph"/>
    <w:uiPriority w:val="34"/>
    <w:rsid w:val="00A97478"/>
    <w:rPr>
      <w:lang w:val="en-GB"/>
    </w:rPr>
  </w:style>
  <w:style w:type="paragraph" w:styleId="EndnoteText">
    <w:name w:val="endnote text"/>
    <w:basedOn w:val="Normal"/>
    <w:link w:val="EndnoteTextChar"/>
    <w:uiPriority w:val="99"/>
    <w:semiHidden/>
    <w:unhideWhenUsed/>
    <w:rsid w:val="00892F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F28"/>
    <w:rPr>
      <w:sz w:val="20"/>
      <w:szCs w:val="20"/>
      <w:lang w:val="en-GB"/>
    </w:rPr>
  </w:style>
  <w:style w:type="character" w:styleId="EndnoteReference">
    <w:name w:val="endnote reference"/>
    <w:basedOn w:val="DefaultParagraphFont"/>
    <w:uiPriority w:val="99"/>
    <w:semiHidden/>
    <w:unhideWhenUsed/>
    <w:rsid w:val="00892F28"/>
    <w:rPr>
      <w:vertAlign w:val="superscript"/>
    </w:rPr>
  </w:style>
  <w:style w:type="paragraph" w:styleId="BalloonText">
    <w:name w:val="Balloon Text"/>
    <w:basedOn w:val="Normal"/>
    <w:link w:val="BalloonTextChar"/>
    <w:uiPriority w:val="99"/>
    <w:semiHidden/>
    <w:unhideWhenUsed/>
    <w:rsid w:val="00C6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05"/>
    <w:rPr>
      <w:rFonts w:ascii="Tahoma" w:hAnsi="Tahoma" w:cs="Tahoma"/>
      <w:sz w:val="16"/>
      <w:szCs w:val="16"/>
      <w:lang w:val="en-GB"/>
    </w:rPr>
  </w:style>
  <w:style w:type="paragraph" w:customStyle="1" w:styleId="font5">
    <w:name w:val="font5"/>
    <w:basedOn w:val="Normal"/>
    <w:rsid w:val="00A97478"/>
    <w:pPr>
      <w:spacing w:before="100" w:beforeAutospacing="1" w:after="100" w:afterAutospacing="1" w:line="240" w:lineRule="auto"/>
    </w:pPr>
    <w:rPr>
      <w:rFonts w:ascii="Calibri" w:eastAsia="Times New Roman" w:hAnsi="Calibri" w:cs="Times New Roman"/>
      <w:color w:val="545454"/>
      <w:sz w:val="20"/>
      <w:szCs w:val="20"/>
      <w:lang w:val="en-IE" w:eastAsia="en-IE"/>
    </w:rPr>
  </w:style>
  <w:style w:type="paragraph" w:customStyle="1" w:styleId="font6">
    <w:name w:val="font6"/>
    <w:basedOn w:val="Normal"/>
    <w:rsid w:val="00A97478"/>
    <w:pPr>
      <w:spacing w:before="100" w:beforeAutospacing="1" w:after="100" w:afterAutospacing="1" w:line="240" w:lineRule="auto"/>
    </w:pPr>
    <w:rPr>
      <w:rFonts w:ascii="Calibri" w:eastAsia="Times New Roman" w:hAnsi="Calibri" w:cs="Times New Roman"/>
      <w:b/>
      <w:bCs/>
      <w:color w:val="545454"/>
      <w:sz w:val="20"/>
      <w:szCs w:val="20"/>
      <w:lang w:val="en-IE" w:eastAsia="en-IE"/>
    </w:rPr>
  </w:style>
  <w:style w:type="paragraph" w:customStyle="1" w:styleId="xl67">
    <w:name w:val="xl67"/>
    <w:basedOn w:val="Normal"/>
    <w:rsid w:val="00A9747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8">
    <w:name w:val="xl6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69">
    <w:name w:val="xl6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IE" w:eastAsia="en-IE"/>
    </w:rPr>
  </w:style>
  <w:style w:type="paragraph" w:customStyle="1" w:styleId="xl70">
    <w:name w:val="xl70"/>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IE" w:eastAsia="en-IE"/>
    </w:rPr>
  </w:style>
  <w:style w:type="paragraph" w:customStyle="1" w:styleId="xl71">
    <w:name w:val="xl71"/>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2">
    <w:name w:val="xl72"/>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3">
    <w:name w:val="xl73"/>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4">
    <w:name w:val="xl74"/>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IE" w:eastAsia="en-IE"/>
    </w:rPr>
  </w:style>
  <w:style w:type="paragraph" w:customStyle="1" w:styleId="xl75">
    <w:name w:val="xl75"/>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6">
    <w:name w:val="xl76"/>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7">
    <w:name w:val="xl77"/>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0"/>
      <w:szCs w:val="20"/>
      <w:u w:val="single"/>
      <w:lang w:val="en-IE" w:eastAsia="en-IE"/>
    </w:rPr>
  </w:style>
  <w:style w:type="paragraph" w:customStyle="1" w:styleId="xl78">
    <w:name w:val="xl7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79">
    <w:name w:val="xl7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0">
    <w:name w:val="xl80"/>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1">
    <w:name w:val="xl81"/>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2">
    <w:name w:val="xl82"/>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3">
    <w:name w:val="xl83"/>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4">
    <w:name w:val="xl84"/>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u w:val="single"/>
      <w:lang w:val="en-IE" w:eastAsia="en-IE"/>
    </w:rPr>
  </w:style>
  <w:style w:type="paragraph" w:customStyle="1" w:styleId="xl85">
    <w:name w:val="xl85"/>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en-IE" w:eastAsia="en-IE"/>
    </w:rPr>
  </w:style>
  <w:style w:type="paragraph" w:customStyle="1" w:styleId="xl86">
    <w:name w:val="xl86"/>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7">
    <w:name w:val="xl87"/>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8">
    <w:name w:val="xl8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89">
    <w:name w:val="xl8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0">
    <w:name w:val="xl90"/>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1">
    <w:name w:val="xl91"/>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2">
    <w:name w:val="xl92"/>
    <w:basedOn w:val="Normal"/>
    <w:rsid w:val="00A974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3">
    <w:name w:val="xl93"/>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4">
    <w:name w:val="xl94"/>
    <w:basedOn w:val="Normal"/>
    <w:rsid w:val="00A974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5">
    <w:name w:val="xl95"/>
    <w:basedOn w:val="Normal"/>
    <w:rsid w:val="00A974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6">
    <w:name w:val="xl96"/>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7">
    <w:name w:val="xl97"/>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8">
    <w:name w:val="xl98"/>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99">
    <w:name w:val="xl99"/>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0">
    <w:name w:val="xl100"/>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lang w:val="en-IE" w:eastAsia="en-IE"/>
    </w:rPr>
  </w:style>
  <w:style w:type="paragraph" w:customStyle="1" w:styleId="xl101">
    <w:name w:val="xl101"/>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2">
    <w:name w:val="xl102"/>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3">
    <w:name w:val="xl103"/>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4">
    <w:name w:val="xl104"/>
    <w:basedOn w:val="Normal"/>
    <w:rsid w:val="00A9747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05">
    <w:name w:val="xl105"/>
    <w:basedOn w:val="Normal"/>
    <w:rsid w:val="00A97478"/>
    <w:pPr>
      <w:spacing w:before="100" w:beforeAutospacing="1" w:after="100" w:afterAutospacing="1" w:line="240" w:lineRule="auto"/>
    </w:pPr>
    <w:rPr>
      <w:rFonts w:ascii="Times New Roman" w:eastAsia="Times New Roman" w:hAnsi="Times New Roman" w:cs="Times New Roman"/>
      <w:color w:val="0000FF"/>
      <w:sz w:val="24"/>
      <w:szCs w:val="24"/>
      <w:u w:val="single"/>
      <w:lang w:val="en-IE" w:eastAsia="en-IE"/>
    </w:rPr>
  </w:style>
  <w:style w:type="paragraph" w:customStyle="1" w:styleId="xl106">
    <w:name w:val="xl106"/>
    <w:basedOn w:val="Normal"/>
    <w:rsid w:val="00A97478"/>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en-IE" w:eastAsia="en-IE"/>
    </w:rPr>
  </w:style>
  <w:style w:type="paragraph" w:customStyle="1" w:styleId="xl107">
    <w:name w:val="xl107"/>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lang w:val="en-IE" w:eastAsia="en-IE"/>
    </w:rPr>
  </w:style>
  <w:style w:type="paragraph" w:customStyle="1" w:styleId="xl108">
    <w:name w:val="xl10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val="en-IE" w:eastAsia="en-IE"/>
    </w:rPr>
  </w:style>
  <w:style w:type="paragraph" w:customStyle="1" w:styleId="xl109">
    <w:name w:val="xl109"/>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10">
    <w:name w:val="xl110"/>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val="en-IE" w:eastAsia="en-IE"/>
    </w:rPr>
  </w:style>
  <w:style w:type="paragraph" w:customStyle="1" w:styleId="xl111">
    <w:name w:val="xl111"/>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val="en-IE" w:eastAsia="en-IE"/>
    </w:rPr>
  </w:style>
  <w:style w:type="paragraph" w:customStyle="1" w:styleId="xl112">
    <w:name w:val="xl112"/>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en-IE" w:eastAsia="en-IE"/>
    </w:rPr>
  </w:style>
  <w:style w:type="paragraph" w:customStyle="1" w:styleId="xl113">
    <w:name w:val="xl113"/>
    <w:basedOn w:val="Normal"/>
    <w:rsid w:val="00A97478"/>
    <w:pPr>
      <w:spacing w:before="100" w:beforeAutospacing="1" w:after="100" w:afterAutospacing="1" w:line="240" w:lineRule="auto"/>
    </w:pPr>
    <w:rPr>
      <w:rFonts w:ascii="Times New Roman" w:eastAsia="Times New Roman" w:hAnsi="Times New Roman" w:cs="Times New Roman"/>
      <w:color w:val="545454"/>
      <w:sz w:val="20"/>
      <w:szCs w:val="20"/>
      <w:lang w:val="en-IE" w:eastAsia="en-IE"/>
    </w:rPr>
  </w:style>
  <w:style w:type="paragraph" w:customStyle="1" w:styleId="xl114">
    <w:name w:val="xl114"/>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15">
    <w:name w:val="xl115"/>
    <w:basedOn w:val="Normal"/>
    <w:rsid w:val="00A97478"/>
    <w:pPr>
      <w:spacing w:before="100" w:beforeAutospacing="1" w:after="100" w:afterAutospacing="1" w:line="240" w:lineRule="auto"/>
    </w:pPr>
    <w:rPr>
      <w:rFonts w:ascii="Times New Roman" w:eastAsia="Times New Roman" w:hAnsi="Times New Roman" w:cs="Times New Roman"/>
      <w:color w:val="000000"/>
      <w:sz w:val="20"/>
      <w:szCs w:val="20"/>
      <w:lang w:val="en-IE" w:eastAsia="en-IE"/>
    </w:rPr>
  </w:style>
  <w:style w:type="paragraph" w:customStyle="1" w:styleId="xl116">
    <w:name w:val="xl116"/>
    <w:basedOn w:val="Normal"/>
    <w:rsid w:val="00A97478"/>
    <w:pPr>
      <w:spacing w:before="100" w:beforeAutospacing="1" w:after="100" w:afterAutospacing="1" w:line="240" w:lineRule="auto"/>
    </w:pPr>
    <w:rPr>
      <w:rFonts w:ascii="Times New Roman" w:eastAsia="Times New Roman" w:hAnsi="Times New Roman" w:cs="Times New Roman"/>
      <w:color w:val="0000FF"/>
      <w:sz w:val="20"/>
      <w:szCs w:val="20"/>
      <w:u w:val="single"/>
      <w:lang w:val="en-IE" w:eastAsia="en-IE"/>
    </w:rPr>
  </w:style>
  <w:style w:type="paragraph" w:customStyle="1" w:styleId="xl117">
    <w:name w:val="xl117"/>
    <w:basedOn w:val="Normal"/>
    <w:rsid w:val="00A974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18">
    <w:name w:val="xl118"/>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IE" w:eastAsia="en-IE"/>
    </w:rPr>
  </w:style>
  <w:style w:type="paragraph" w:customStyle="1" w:styleId="xl119">
    <w:name w:val="xl119"/>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20">
    <w:name w:val="xl120"/>
    <w:basedOn w:val="Normal"/>
    <w:rsid w:val="00A974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1">
    <w:name w:val="xl121"/>
    <w:basedOn w:val="Normal"/>
    <w:rsid w:val="00A9747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2">
    <w:name w:val="xl122"/>
    <w:basedOn w:val="Normal"/>
    <w:rsid w:val="00A97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IE" w:eastAsia="en-IE"/>
    </w:rPr>
  </w:style>
  <w:style w:type="paragraph" w:customStyle="1" w:styleId="xl123">
    <w:name w:val="xl123"/>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24">
    <w:name w:val="xl124"/>
    <w:basedOn w:val="Normal"/>
    <w:rsid w:val="00A97478"/>
    <w:pPr>
      <w:spacing w:before="100" w:beforeAutospacing="1" w:after="100" w:afterAutospacing="1" w:line="240" w:lineRule="auto"/>
    </w:pPr>
    <w:rPr>
      <w:rFonts w:ascii="Times New Roman" w:eastAsia="Times New Roman" w:hAnsi="Times New Roman" w:cs="Times New Roman"/>
      <w:b/>
      <w:bCs/>
      <w:sz w:val="24"/>
      <w:szCs w:val="24"/>
      <w:lang w:val="en-IE" w:eastAsia="en-IE"/>
    </w:rPr>
  </w:style>
  <w:style w:type="paragraph" w:customStyle="1" w:styleId="xl125">
    <w:name w:val="xl125"/>
    <w:basedOn w:val="Normal"/>
    <w:rsid w:val="00A97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en-IE" w:eastAsia="en-IE"/>
    </w:rPr>
  </w:style>
  <w:style w:type="paragraph" w:customStyle="1" w:styleId="xl126">
    <w:name w:val="xl126"/>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7">
    <w:name w:val="xl127"/>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28">
    <w:name w:val="xl128"/>
    <w:basedOn w:val="Normal"/>
    <w:rsid w:val="00A9747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29">
    <w:name w:val="xl129"/>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0">
    <w:name w:val="xl130"/>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1">
    <w:name w:val="xl131"/>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en-IE" w:eastAsia="en-IE"/>
    </w:rPr>
  </w:style>
  <w:style w:type="paragraph" w:customStyle="1" w:styleId="xl132">
    <w:name w:val="xl132"/>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3">
    <w:name w:val="xl133"/>
    <w:basedOn w:val="Normal"/>
    <w:rsid w:val="00A97478"/>
    <w:pP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4">
    <w:name w:val="xl134"/>
    <w:basedOn w:val="Normal"/>
    <w:rsid w:val="00A97478"/>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val="en-IE" w:eastAsia="en-IE"/>
    </w:rPr>
  </w:style>
  <w:style w:type="paragraph" w:customStyle="1" w:styleId="xl135">
    <w:name w:val="xl135"/>
    <w:basedOn w:val="Normal"/>
    <w:rsid w:val="00A9747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6">
    <w:name w:val="xl136"/>
    <w:basedOn w:val="Normal"/>
    <w:rsid w:val="00A974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7">
    <w:name w:val="xl137"/>
    <w:basedOn w:val="Normal"/>
    <w:rsid w:val="00A9747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38">
    <w:name w:val="xl138"/>
    <w:basedOn w:val="Normal"/>
    <w:rsid w:val="00A974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l139">
    <w:name w:val="xl139"/>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color w:val="0000FF"/>
      <w:sz w:val="20"/>
      <w:szCs w:val="20"/>
      <w:lang w:val="en-IE" w:eastAsia="en-IE"/>
    </w:rPr>
  </w:style>
  <w:style w:type="paragraph" w:customStyle="1" w:styleId="xl140">
    <w:name w:val="xl140"/>
    <w:basedOn w:val="Normal"/>
    <w:rsid w:val="00A97478"/>
    <w:pPr>
      <w:spacing w:before="100" w:beforeAutospacing="1" w:after="100" w:afterAutospacing="1" w:line="240" w:lineRule="auto"/>
    </w:pPr>
    <w:rPr>
      <w:rFonts w:ascii="Times New Roman" w:eastAsia="Times New Roman" w:hAnsi="Times New Roman" w:cs="Times New Roman"/>
      <w:color w:val="0000FF"/>
      <w:sz w:val="20"/>
      <w:szCs w:val="20"/>
      <w:lang w:val="en-IE" w:eastAsia="en-IE"/>
    </w:rPr>
  </w:style>
  <w:style w:type="paragraph" w:customStyle="1" w:styleId="xl141">
    <w:name w:val="xl141"/>
    <w:basedOn w:val="Normal"/>
    <w:rsid w:val="00A97478"/>
    <w:pPr>
      <w:shd w:val="clear" w:color="000000" w:fill="FFFFFF"/>
      <w:spacing w:before="100" w:beforeAutospacing="1" w:after="100" w:afterAutospacing="1" w:line="240" w:lineRule="auto"/>
    </w:pPr>
    <w:rPr>
      <w:rFonts w:ascii="Times New Roman" w:eastAsia="Times New Roman" w:hAnsi="Times New Roman" w:cs="Times New Roman"/>
      <w:sz w:val="20"/>
      <w:szCs w:val="20"/>
      <w:lang w:val="en-IE" w:eastAsia="en-IE"/>
    </w:rPr>
  </w:style>
  <w:style w:type="paragraph" w:customStyle="1" w:styleId="xl142">
    <w:name w:val="xl142"/>
    <w:basedOn w:val="Normal"/>
    <w:rsid w:val="00A97478"/>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FootnoteText">
    <w:name w:val="footnote text"/>
    <w:aliases w:val="Schriftart: 9 pt,Schriftart: 10 pt,Schriftart: 8 pt,o,F-t"/>
    <w:basedOn w:val="Normal"/>
    <w:link w:val="FootnoteTextChar"/>
    <w:uiPriority w:val="99"/>
    <w:rsid w:val="00A97478"/>
    <w:pPr>
      <w:spacing w:after="120" w:line="240" w:lineRule="auto"/>
      <w:jc w:val="both"/>
    </w:pPr>
    <w:rPr>
      <w:rFonts w:ascii="Tahoma" w:eastAsia="Times New Roman" w:hAnsi="Tahoma" w:cs="Times New Roman"/>
      <w:sz w:val="18"/>
      <w:szCs w:val="20"/>
      <w:lang w:val="en-IE"/>
    </w:rPr>
  </w:style>
  <w:style w:type="character" w:customStyle="1" w:styleId="FootnoteTextChar">
    <w:name w:val="Footnote Text Char"/>
    <w:aliases w:val="Schriftart: 9 pt Char,Schriftart: 10 pt Char,Schriftart: 8 pt Char,o Char,F-t Char"/>
    <w:basedOn w:val="DefaultParagraphFont"/>
    <w:link w:val="FootnoteText"/>
    <w:uiPriority w:val="99"/>
    <w:rsid w:val="00A97478"/>
    <w:rPr>
      <w:rFonts w:ascii="Tahoma" w:eastAsia="Times New Roman" w:hAnsi="Tahoma" w:cs="Times New Roman"/>
      <w:sz w:val="18"/>
      <w:szCs w:val="20"/>
    </w:rPr>
  </w:style>
  <w:style w:type="character" w:styleId="FootnoteReference">
    <w:name w:val="footnote reference"/>
    <w:aliases w:val="stylish"/>
    <w:uiPriority w:val="99"/>
    <w:rsid w:val="00A97478"/>
    <w:rPr>
      <w:rFonts w:ascii="Tahoma" w:hAnsi="Tahoma"/>
      <w:vertAlign w:val="superscript"/>
    </w:rPr>
  </w:style>
  <w:style w:type="paragraph" w:styleId="Caption">
    <w:name w:val="caption"/>
    <w:basedOn w:val="Normal"/>
    <w:next w:val="Normal"/>
    <w:qFormat/>
    <w:rsid w:val="00A97478"/>
    <w:pPr>
      <w:spacing w:after="120" w:line="240" w:lineRule="auto"/>
      <w:jc w:val="both"/>
    </w:pPr>
    <w:rPr>
      <w:rFonts w:ascii="Tahoma" w:eastAsia="Times New Roman" w:hAnsi="Tahoma"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7810">
      <w:bodyDiv w:val="1"/>
      <w:marLeft w:val="0"/>
      <w:marRight w:val="0"/>
      <w:marTop w:val="0"/>
      <w:marBottom w:val="0"/>
      <w:divBdr>
        <w:top w:val="none" w:sz="0" w:space="0" w:color="auto"/>
        <w:left w:val="none" w:sz="0" w:space="0" w:color="auto"/>
        <w:bottom w:val="none" w:sz="0" w:space="0" w:color="auto"/>
        <w:right w:val="none" w:sz="0" w:space="0" w:color="auto"/>
      </w:divBdr>
    </w:div>
    <w:div w:id="390154211">
      <w:bodyDiv w:val="1"/>
      <w:marLeft w:val="0"/>
      <w:marRight w:val="0"/>
      <w:marTop w:val="0"/>
      <w:marBottom w:val="0"/>
      <w:divBdr>
        <w:top w:val="none" w:sz="0" w:space="0" w:color="auto"/>
        <w:left w:val="none" w:sz="0" w:space="0" w:color="auto"/>
        <w:bottom w:val="none" w:sz="0" w:space="0" w:color="auto"/>
        <w:right w:val="none" w:sz="0" w:space="0" w:color="auto"/>
      </w:divBdr>
    </w:div>
    <w:div w:id="391581655">
      <w:bodyDiv w:val="1"/>
      <w:marLeft w:val="0"/>
      <w:marRight w:val="0"/>
      <w:marTop w:val="0"/>
      <w:marBottom w:val="0"/>
      <w:divBdr>
        <w:top w:val="none" w:sz="0" w:space="0" w:color="auto"/>
        <w:left w:val="none" w:sz="0" w:space="0" w:color="auto"/>
        <w:bottom w:val="none" w:sz="0" w:space="0" w:color="auto"/>
        <w:right w:val="none" w:sz="0" w:space="0" w:color="auto"/>
      </w:divBdr>
    </w:div>
    <w:div w:id="1319848972">
      <w:bodyDiv w:val="1"/>
      <w:marLeft w:val="0"/>
      <w:marRight w:val="0"/>
      <w:marTop w:val="0"/>
      <w:marBottom w:val="0"/>
      <w:divBdr>
        <w:top w:val="none" w:sz="0" w:space="0" w:color="auto"/>
        <w:left w:val="none" w:sz="0" w:space="0" w:color="auto"/>
        <w:bottom w:val="none" w:sz="0" w:space="0" w:color="auto"/>
        <w:right w:val="none" w:sz="0" w:space="0" w:color="auto"/>
      </w:divBdr>
    </w:div>
    <w:div w:id="1807122266">
      <w:bodyDiv w:val="1"/>
      <w:marLeft w:val="0"/>
      <w:marRight w:val="0"/>
      <w:marTop w:val="0"/>
      <w:marBottom w:val="0"/>
      <w:divBdr>
        <w:top w:val="none" w:sz="0" w:space="0" w:color="auto"/>
        <w:left w:val="none" w:sz="0" w:space="0" w:color="auto"/>
        <w:bottom w:val="none" w:sz="0" w:space="0" w:color="auto"/>
        <w:right w:val="none" w:sz="0" w:space="0" w:color="auto"/>
      </w:divBdr>
    </w:div>
    <w:div w:id="20769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C9EB-B119-486E-9AF3-C589C84C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6ECA9E42</Template>
  <TotalTime>2</TotalTime>
  <Pages>7</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Ruairi Deane</dc:creator>
  <cp:lastModifiedBy>Mary Stack</cp:lastModifiedBy>
  <cp:revision>3</cp:revision>
  <cp:lastPrinted>2016-09-01T11:06:00Z</cp:lastPrinted>
  <dcterms:created xsi:type="dcterms:W3CDTF">2016-09-01T11:14:00Z</dcterms:created>
  <dcterms:modified xsi:type="dcterms:W3CDTF">2016-09-01T11:18:00Z</dcterms:modified>
</cp:coreProperties>
</file>